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D5" w:rsidRDefault="000110D5" w:rsidP="000110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БУРЯТИЯ</w:t>
      </w:r>
    </w:p>
    <w:p w:rsidR="000110D5" w:rsidRDefault="000110D5" w:rsidP="000110D5">
      <w:pPr>
        <w:tabs>
          <w:tab w:val="center" w:pos="4677"/>
          <w:tab w:val="left" w:pos="82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ПРИБАЙКАЛЬСКИЙ РАЙОН</w:t>
      </w:r>
      <w:r>
        <w:rPr>
          <w:b/>
          <w:sz w:val="32"/>
          <w:szCs w:val="32"/>
        </w:rPr>
        <w:tab/>
      </w:r>
    </w:p>
    <w:p w:rsidR="000110D5" w:rsidRPr="007B329B" w:rsidRDefault="000110D5" w:rsidP="000110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МУНИЦИПАЛЬНОГО ОБРАЗОВАНИЯ «ТУРУНТАЕВСКОЕ» СЕЛЬСКОЕ ПОСЕЛЕНИЕ</w:t>
      </w:r>
    </w:p>
    <w:p w:rsidR="000110D5" w:rsidRDefault="000110D5" w:rsidP="000110D5">
      <w:pPr>
        <w:jc w:val="center"/>
      </w:pPr>
    </w:p>
    <w:p w:rsidR="000110D5" w:rsidRPr="007B329B" w:rsidRDefault="000110D5" w:rsidP="000110D5">
      <w:pPr>
        <w:jc w:val="center"/>
        <w:rPr>
          <w:b/>
          <w:sz w:val="28"/>
          <w:szCs w:val="28"/>
        </w:rPr>
      </w:pPr>
      <w:r w:rsidRPr="007B329B">
        <w:rPr>
          <w:b/>
          <w:sz w:val="28"/>
          <w:szCs w:val="28"/>
        </w:rPr>
        <w:t>РЕШЕНИЕ</w:t>
      </w:r>
    </w:p>
    <w:p w:rsidR="000110D5" w:rsidRDefault="000110D5" w:rsidP="000110D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10D5" w:rsidRDefault="001A6E5F" w:rsidP="000110D5">
      <w:r>
        <w:t>1</w:t>
      </w:r>
      <w:r w:rsidR="00F9514A">
        <w:t>4</w:t>
      </w:r>
      <w:r>
        <w:t xml:space="preserve"> </w:t>
      </w:r>
      <w:r w:rsidR="00445286">
        <w:t xml:space="preserve">ноября </w:t>
      </w:r>
      <w:r>
        <w:t xml:space="preserve">2012 г.                                                                                     </w:t>
      </w:r>
      <w:r w:rsidR="00F9514A">
        <w:t xml:space="preserve">                  </w:t>
      </w:r>
      <w:r w:rsidR="000110D5">
        <w:t xml:space="preserve">N </w:t>
      </w:r>
      <w:r w:rsidR="00F9514A">
        <w:t>157</w:t>
      </w:r>
    </w:p>
    <w:p w:rsidR="000110D5" w:rsidRDefault="000110D5" w:rsidP="000110D5"/>
    <w:p w:rsidR="000110D5" w:rsidRDefault="000110D5" w:rsidP="000110D5"/>
    <w:p w:rsidR="00F01889" w:rsidRPr="00E95016" w:rsidRDefault="00F01889" w:rsidP="00F01889">
      <w:pPr>
        <w:jc w:val="both"/>
        <w:rPr>
          <w:color w:val="333399"/>
        </w:rPr>
      </w:pPr>
    </w:p>
    <w:p w:rsidR="00F01889" w:rsidRPr="00E95016" w:rsidRDefault="00F01889" w:rsidP="00F01889">
      <w:pPr>
        <w:jc w:val="both"/>
        <w:rPr>
          <w:color w:val="333399"/>
        </w:rPr>
      </w:pPr>
    </w:p>
    <w:p w:rsidR="00AB20B7" w:rsidRDefault="00F01889" w:rsidP="004006C9">
      <w:pPr>
        <w:pStyle w:val="aa"/>
        <w:jc w:val="both"/>
      </w:pPr>
      <w:r w:rsidRPr="00E95016">
        <w:t xml:space="preserve">Об    утверждении  </w:t>
      </w:r>
      <w:r w:rsidR="008B0B4E">
        <w:t>положения</w:t>
      </w:r>
      <w:r w:rsidR="00BF6A5D" w:rsidRPr="00BF6A5D">
        <w:t xml:space="preserve"> </w:t>
      </w:r>
      <w:r w:rsidR="00BF6A5D">
        <w:t>о</w:t>
      </w:r>
      <w:r w:rsidR="008B0B4E">
        <w:t xml:space="preserve"> </w:t>
      </w:r>
      <w:r w:rsidR="004006C9">
        <w:t>норматив</w:t>
      </w:r>
      <w:r w:rsidR="00BF6A5D">
        <w:t>ах</w:t>
      </w:r>
      <w:r w:rsidR="00AB20B7">
        <w:t xml:space="preserve"> финансовых</w:t>
      </w:r>
    </w:p>
    <w:p w:rsidR="008B0B4E" w:rsidRDefault="00F9514A" w:rsidP="004006C9">
      <w:pPr>
        <w:pStyle w:val="aa"/>
        <w:jc w:val="both"/>
      </w:pPr>
      <w:r>
        <w:t xml:space="preserve"> затрат, на</w:t>
      </w:r>
      <w:r w:rsidR="00AB20B7">
        <w:t xml:space="preserve"> ремонт  и содержание автодорог местного значения</w:t>
      </w:r>
    </w:p>
    <w:p w:rsidR="0084091E" w:rsidRDefault="00AB20B7" w:rsidP="004006C9">
      <w:pPr>
        <w:pStyle w:val="aa"/>
        <w:jc w:val="both"/>
      </w:pPr>
      <w:r>
        <w:t xml:space="preserve"> и правил</w:t>
      </w:r>
      <w:r w:rsidR="00BF6A5D">
        <w:t>а</w:t>
      </w:r>
      <w:r>
        <w:t xml:space="preserve"> расчета размера ассигнований местного </w:t>
      </w:r>
    </w:p>
    <w:p w:rsidR="00F01889" w:rsidRPr="00E95016" w:rsidRDefault="00AB20B7" w:rsidP="004006C9">
      <w:pPr>
        <w:pStyle w:val="aa"/>
        <w:jc w:val="both"/>
      </w:pPr>
      <w:r>
        <w:t>бюджета на указанные цели</w:t>
      </w:r>
    </w:p>
    <w:p w:rsidR="00F01889" w:rsidRPr="00E95016" w:rsidRDefault="00F01889" w:rsidP="00802FB2">
      <w:pPr>
        <w:pStyle w:val="aa"/>
        <w:jc w:val="both"/>
      </w:pPr>
    </w:p>
    <w:p w:rsidR="00F01889" w:rsidRPr="00E95016" w:rsidRDefault="00F01889" w:rsidP="00802FB2">
      <w:pPr>
        <w:pStyle w:val="aa"/>
        <w:jc w:val="both"/>
      </w:pPr>
    </w:p>
    <w:p w:rsidR="00F01889" w:rsidRPr="00E95016" w:rsidRDefault="00F01889" w:rsidP="00802FB2">
      <w:pPr>
        <w:pStyle w:val="aa"/>
        <w:jc w:val="both"/>
      </w:pPr>
    </w:p>
    <w:p w:rsidR="00F01889" w:rsidRPr="00802FB2" w:rsidRDefault="00F01889" w:rsidP="00802FB2">
      <w:pPr>
        <w:pStyle w:val="aa"/>
        <w:jc w:val="both"/>
        <w:rPr>
          <w:sz w:val="28"/>
          <w:szCs w:val="28"/>
        </w:rPr>
      </w:pPr>
      <w:r w:rsidRPr="00802FB2">
        <w:rPr>
          <w:sz w:val="28"/>
          <w:szCs w:val="28"/>
        </w:rPr>
        <w:t xml:space="preserve">         В соответствии с Федеральным законом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с подпунктом </w:t>
      </w:r>
      <w:r w:rsidR="00113051">
        <w:rPr>
          <w:sz w:val="28"/>
          <w:szCs w:val="28"/>
        </w:rPr>
        <w:t>5</w:t>
      </w:r>
      <w:r w:rsidRPr="00802FB2">
        <w:rPr>
          <w:sz w:val="28"/>
          <w:szCs w:val="28"/>
        </w:rPr>
        <w:t xml:space="preserve"> пункта 1 статьи </w:t>
      </w:r>
      <w:r w:rsidR="00113051">
        <w:rPr>
          <w:sz w:val="28"/>
          <w:szCs w:val="28"/>
        </w:rPr>
        <w:t>14</w:t>
      </w:r>
      <w:r w:rsidRPr="00802FB2">
        <w:rPr>
          <w:sz w:val="28"/>
          <w:szCs w:val="28"/>
        </w:rPr>
        <w:t xml:space="preserve"> Федерального закона от 06.10.2003  №131-ФЗ «Об общих принципах организации местного самоуправления в Российской Федерации», статьей 86 Бюджетного кодекса Российской Федерации:</w:t>
      </w:r>
    </w:p>
    <w:p w:rsidR="009F0828" w:rsidRDefault="00F01889" w:rsidP="009F0828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802FB2">
        <w:rPr>
          <w:sz w:val="28"/>
          <w:szCs w:val="28"/>
        </w:rPr>
        <w:t>Утвердить</w:t>
      </w:r>
      <w:r w:rsidR="008B0B4E">
        <w:rPr>
          <w:sz w:val="28"/>
          <w:szCs w:val="28"/>
        </w:rPr>
        <w:t xml:space="preserve"> положение </w:t>
      </w:r>
      <w:r w:rsidRPr="00802FB2">
        <w:rPr>
          <w:sz w:val="28"/>
          <w:szCs w:val="28"/>
        </w:rPr>
        <w:t xml:space="preserve"> </w:t>
      </w:r>
      <w:r w:rsidR="00BF6A5D">
        <w:rPr>
          <w:sz w:val="28"/>
          <w:szCs w:val="28"/>
        </w:rPr>
        <w:t xml:space="preserve">о </w:t>
      </w:r>
      <w:r w:rsidR="00AB20B7" w:rsidRPr="00113051">
        <w:rPr>
          <w:sz w:val="28"/>
          <w:szCs w:val="28"/>
        </w:rPr>
        <w:t>норматив</w:t>
      </w:r>
      <w:r w:rsidR="00BF6A5D">
        <w:rPr>
          <w:sz w:val="28"/>
          <w:szCs w:val="28"/>
        </w:rPr>
        <w:t>ах</w:t>
      </w:r>
      <w:r w:rsidR="00AB20B7" w:rsidRPr="00113051">
        <w:rPr>
          <w:sz w:val="28"/>
          <w:szCs w:val="28"/>
        </w:rPr>
        <w:t xml:space="preserve"> финансовых</w:t>
      </w:r>
      <w:r w:rsidR="00113051">
        <w:rPr>
          <w:sz w:val="28"/>
          <w:szCs w:val="28"/>
        </w:rPr>
        <w:t xml:space="preserve"> </w:t>
      </w:r>
      <w:r w:rsidR="00AB20B7" w:rsidRPr="00113051">
        <w:rPr>
          <w:sz w:val="28"/>
          <w:szCs w:val="28"/>
        </w:rPr>
        <w:t>затрат на ремонт  и содержание автодорог местного значения</w:t>
      </w:r>
      <w:r w:rsidR="004D14EB">
        <w:rPr>
          <w:sz w:val="28"/>
          <w:szCs w:val="28"/>
        </w:rPr>
        <w:t xml:space="preserve"> в границах</w:t>
      </w:r>
      <w:r w:rsidR="00641E19">
        <w:rPr>
          <w:sz w:val="28"/>
          <w:szCs w:val="28"/>
        </w:rPr>
        <w:t xml:space="preserve"> «</w:t>
      </w:r>
      <w:r w:rsidR="00EB2AF9">
        <w:rPr>
          <w:sz w:val="28"/>
          <w:szCs w:val="28"/>
        </w:rPr>
        <w:t>Турунтаевское» сельское поселение.</w:t>
      </w:r>
      <w:r w:rsidR="00AB20B7" w:rsidRPr="00113051">
        <w:rPr>
          <w:sz w:val="28"/>
          <w:szCs w:val="28"/>
        </w:rPr>
        <w:t xml:space="preserve"> </w:t>
      </w:r>
      <w:r w:rsidR="004D14EB">
        <w:rPr>
          <w:sz w:val="28"/>
          <w:szCs w:val="28"/>
        </w:rPr>
        <w:t>(Приложение №1)</w:t>
      </w:r>
    </w:p>
    <w:p w:rsidR="00AB20B7" w:rsidRPr="004D14EB" w:rsidRDefault="008B0B4E" w:rsidP="004D14EB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="00AB20B7" w:rsidRPr="00113051">
        <w:rPr>
          <w:sz w:val="28"/>
          <w:szCs w:val="28"/>
        </w:rPr>
        <w:t>равил</w:t>
      </w:r>
      <w:r w:rsidR="00113051">
        <w:rPr>
          <w:sz w:val="28"/>
          <w:szCs w:val="28"/>
        </w:rPr>
        <w:t>а</w:t>
      </w:r>
      <w:r w:rsidR="00AB20B7" w:rsidRPr="00113051">
        <w:rPr>
          <w:sz w:val="28"/>
          <w:szCs w:val="28"/>
        </w:rPr>
        <w:t xml:space="preserve"> расчета размера ассигнований </w:t>
      </w:r>
      <w:r>
        <w:rPr>
          <w:sz w:val="28"/>
          <w:szCs w:val="28"/>
        </w:rPr>
        <w:t xml:space="preserve"> в границах «Турунтаевско</w:t>
      </w:r>
      <w:r w:rsidR="00641E19">
        <w:rPr>
          <w:sz w:val="28"/>
          <w:szCs w:val="28"/>
        </w:rPr>
        <w:t>е</w:t>
      </w:r>
      <w:r>
        <w:rPr>
          <w:sz w:val="28"/>
          <w:szCs w:val="28"/>
        </w:rPr>
        <w:t>» сельско</w:t>
      </w:r>
      <w:r w:rsidR="00641E19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641E1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AB20B7" w:rsidRPr="00113051">
        <w:rPr>
          <w:sz w:val="28"/>
          <w:szCs w:val="28"/>
        </w:rPr>
        <w:t>на указанные цели</w:t>
      </w:r>
      <w:r w:rsidR="009F0828">
        <w:rPr>
          <w:sz w:val="28"/>
          <w:szCs w:val="28"/>
        </w:rPr>
        <w:t>.</w:t>
      </w:r>
      <w:r w:rsidR="004D14EB" w:rsidRPr="004D14EB">
        <w:rPr>
          <w:sz w:val="28"/>
          <w:szCs w:val="28"/>
        </w:rPr>
        <w:t xml:space="preserve"> </w:t>
      </w:r>
      <w:r w:rsidR="004D14EB">
        <w:rPr>
          <w:sz w:val="28"/>
          <w:szCs w:val="28"/>
        </w:rPr>
        <w:t>(Приложение №2)</w:t>
      </w:r>
    </w:p>
    <w:p w:rsidR="00F01889" w:rsidRPr="00802FB2" w:rsidRDefault="00F01889" w:rsidP="00113051">
      <w:pPr>
        <w:pStyle w:val="aa"/>
        <w:ind w:firstLine="708"/>
        <w:jc w:val="both"/>
        <w:rPr>
          <w:sz w:val="28"/>
          <w:szCs w:val="28"/>
        </w:rPr>
      </w:pPr>
      <w:r w:rsidRPr="00802FB2">
        <w:rPr>
          <w:sz w:val="28"/>
          <w:szCs w:val="28"/>
        </w:rPr>
        <w:t xml:space="preserve">3. Опубликовать </w:t>
      </w:r>
      <w:r w:rsidR="009F0828">
        <w:rPr>
          <w:sz w:val="28"/>
          <w:szCs w:val="28"/>
        </w:rPr>
        <w:t>решение</w:t>
      </w:r>
      <w:r w:rsidRPr="00802FB2">
        <w:rPr>
          <w:sz w:val="28"/>
          <w:szCs w:val="28"/>
        </w:rPr>
        <w:t xml:space="preserve"> в газете «</w:t>
      </w:r>
      <w:r w:rsidR="000A640D">
        <w:rPr>
          <w:sz w:val="28"/>
          <w:szCs w:val="28"/>
        </w:rPr>
        <w:t>Прибайкалец</w:t>
      </w:r>
      <w:r w:rsidRPr="00802FB2">
        <w:rPr>
          <w:sz w:val="28"/>
          <w:szCs w:val="28"/>
        </w:rPr>
        <w:t>»</w:t>
      </w:r>
      <w:r w:rsidR="00641E19">
        <w:rPr>
          <w:sz w:val="28"/>
          <w:szCs w:val="28"/>
        </w:rPr>
        <w:t>,</w:t>
      </w:r>
      <w:r w:rsidR="008B0B4E">
        <w:rPr>
          <w:sz w:val="28"/>
          <w:szCs w:val="28"/>
        </w:rPr>
        <w:t xml:space="preserve"> разместить на официальном  сайте администрации «Турунтаевское» сельское поселение в сети Интернет.</w:t>
      </w:r>
    </w:p>
    <w:p w:rsidR="00641E19" w:rsidRDefault="00F01889" w:rsidP="00802FB2">
      <w:pPr>
        <w:pStyle w:val="aa"/>
        <w:jc w:val="both"/>
        <w:rPr>
          <w:sz w:val="28"/>
          <w:szCs w:val="28"/>
        </w:rPr>
      </w:pPr>
      <w:r w:rsidRPr="00802FB2">
        <w:rPr>
          <w:sz w:val="28"/>
          <w:szCs w:val="28"/>
        </w:rPr>
        <w:t xml:space="preserve">   </w:t>
      </w:r>
      <w:r w:rsidR="00641E19">
        <w:rPr>
          <w:sz w:val="28"/>
          <w:szCs w:val="28"/>
        </w:rPr>
        <w:tab/>
      </w:r>
      <w:r w:rsidRPr="00802FB2">
        <w:rPr>
          <w:sz w:val="28"/>
          <w:szCs w:val="28"/>
        </w:rPr>
        <w:t xml:space="preserve">4.  Контроль за </w:t>
      </w:r>
      <w:r w:rsidR="009F0828">
        <w:rPr>
          <w:sz w:val="28"/>
          <w:szCs w:val="28"/>
        </w:rPr>
        <w:t xml:space="preserve">исполнением настоящего решения </w:t>
      </w:r>
      <w:r w:rsidRPr="00802FB2">
        <w:rPr>
          <w:sz w:val="28"/>
          <w:szCs w:val="28"/>
        </w:rPr>
        <w:t xml:space="preserve"> возложить </w:t>
      </w:r>
      <w:r w:rsidR="008B0B4E">
        <w:rPr>
          <w:sz w:val="28"/>
          <w:szCs w:val="28"/>
        </w:rPr>
        <w:t xml:space="preserve">на зам. </w:t>
      </w:r>
      <w:r w:rsidR="00641E19">
        <w:rPr>
          <w:sz w:val="28"/>
          <w:szCs w:val="28"/>
        </w:rPr>
        <w:t>р</w:t>
      </w:r>
      <w:r w:rsidR="008B0B4E">
        <w:rPr>
          <w:sz w:val="28"/>
          <w:szCs w:val="28"/>
        </w:rPr>
        <w:t xml:space="preserve">уководителя администрации по финансово  - экономическим вопросам «Турунтаевское» сельское поселение </w:t>
      </w:r>
      <w:r w:rsidR="00641E19">
        <w:rPr>
          <w:sz w:val="28"/>
          <w:szCs w:val="28"/>
        </w:rPr>
        <w:t>-</w:t>
      </w:r>
      <w:r w:rsidR="008B0B4E">
        <w:rPr>
          <w:sz w:val="28"/>
          <w:szCs w:val="28"/>
        </w:rPr>
        <w:t>Ангаеву Т.А.</w:t>
      </w:r>
    </w:p>
    <w:p w:rsidR="00641E19" w:rsidRDefault="00641E19" w:rsidP="00802FB2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5.Решение вступает в  законную силу с момента его подписания.  </w:t>
      </w:r>
    </w:p>
    <w:p w:rsidR="009F0828" w:rsidRDefault="009F0828" w:rsidP="00802FB2">
      <w:pPr>
        <w:pStyle w:val="aa"/>
        <w:jc w:val="both"/>
        <w:rPr>
          <w:sz w:val="28"/>
          <w:szCs w:val="28"/>
        </w:rPr>
      </w:pPr>
    </w:p>
    <w:p w:rsidR="009F0828" w:rsidRDefault="009F0828" w:rsidP="00802FB2">
      <w:pPr>
        <w:pStyle w:val="aa"/>
        <w:jc w:val="both"/>
        <w:rPr>
          <w:sz w:val="28"/>
          <w:szCs w:val="28"/>
        </w:rPr>
      </w:pPr>
    </w:p>
    <w:p w:rsidR="009F0828" w:rsidRDefault="009F0828" w:rsidP="00802FB2">
      <w:pPr>
        <w:pStyle w:val="aa"/>
        <w:jc w:val="both"/>
        <w:rPr>
          <w:sz w:val="28"/>
          <w:szCs w:val="28"/>
        </w:rPr>
      </w:pPr>
    </w:p>
    <w:p w:rsidR="009F0828" w:rsidRDefault="009F0828" w:rsidP="00802FB2">
      <w:pPr>
        <w:pStyle w:val="aa"/>
        <w:jc w:val="both"/>
        <w:rPr>
          <w:sz w:val="28"/>
          <w:szCs w:val="28"/>
        </w:rPr>
      </w:pPr>
    </w:p>
    <w:p w:rsidR="009F0828" w:rsidRDefault="009F0828" w:rsidP="00802FB2">
      <w:pPr>
        <w:pStyle w:val="aa"/>
        <w:jc w:val="both"/>
        <w:rPr>
          <w:sz w:val="28"/>
          <w:szCs w:val="28"/>
        </w:rPr>
      </w:pPr>
    </w:p>
    <w:p w:rsidR="00312923" w:rsidRDefault="00802FB2" w:rsidP="00802FB2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</w:t>
      </w:r>
      <w:r w:rsidR="00312923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О</w:t>
      </w:r>
      <w:r w:rsidR="00312923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</w:p>
    <w:p w:rsidR="00802FB2" w:rsidRPr="003F03AF" w:rsidRDefault="00802FB2" w:rsidP="00802FB2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«Турунтаевское» с</w:t>
      </w:r>
      <w:r w:rsidR="00312923">
        <w:rPr>
          <w:sz w:val="28"/>
          <w:szCs w:val="28"/>
        </w:rPr>
        <w:t xml:space="preserve">ельское </w:t>
      </w:r>
      <w:r>
        <w:rPr>
          <w:sz w:val="28"/>
          <w:szCs w:val="28"/>
        </w:rPr>
        <w:t>п</w:t>
      </w:r>
      <w:r w:rsidR="00312923">
        <w:rPr>
          <w:sz w:val="28"/>
          <w:szCs w:val="28"/>
        </w:rPr>
        <w:t>оселение</w:t>
      </w:r>
      <w:r>
        <w:rPr>
          <w:sz w:val="28"/>
          <w:szCs w:val="28"/>
        </w:rPr>
        <w:t xml:space="preserve">                     </w:t>
      </w:r>
      <w:r w:rsidR="0031292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В.И. Головин. </w:t>
      </w:r>
    </w:p>
    <w:p w:rsidR="00113051" w:rsidRDefault="00113051" w:rsidP="00F01889">
      <w:pPr>
        <w:jc w:val="both"/>
        <w:rPr>
          <w:sz w:val="28"/>
          <w:szCs w:val="28"/>
        </w:rPr>
      </w:pPr>
    </w:p>
    <w:p w:rsidR="009F0828" w:rsidRPr="00E95016" w:rsidRDefault="009F0828" w:rsidP="00F01889">
      <w:pPr>
        <w:jc w:val="both"/>
        <w:rPr>
          <w:color w:val="333399"/>
        </w:rPr>
      </w:pPr>
    </w:p>
    <w:p w:rsidR="000110D5" w:rsidRDefault="00802FB2" w:rsidP="00802FB2">
      <w:pPr>
        <w:jc w:val="both"/>
        <w:rPr>
          <w:color w:val="333399"/>
        </w:rPr>
      </w:pPr>
      <w:r>
        <w:rPr>
          <w:color w:val="333399"/>
        </w:rPr>
        <w:lastRenderedPageBreak/>
        <w:t xml:space="preserve">   </w:t>
      </w:r>
    </w:p>
    <w:p w:rsidR="00802FB2" w:rsidRDefault="00F01889" w:rsidP="00802FB2">
      <w:pPr>
        <w:pStyle w:val="aa"/>
        <w:jc w:val="right"/>
      </w:pPr>
      <w:r w:rsidRPr="00E95016">
        <w:t xml:space="preserve">                                                                             </w:t>
      </w:r>
      <w:r w:rsidR="00A66B9F">
        <w:t>Приложение №1</w:t>
      </w:r>
    </w:p>
    <w:p w:rsidR="00A66B9F" w:rsidRDefault="00A66B9F" w:rsidP="00802FB2">
      <w:pPr>
        <w:pStyle w:val="aa"/>
        <w:jc w:val="right"/>
        <w:rPr>
          <w:sz w:val="28"/>
          <w:szCs w:val="28"/>
        </w:rPr>
      </w:pPr>
      <w:r>
        <w:t>К Решению №</w:t>
      </w:r>
      <w:r w:rsidR="00F9514A">
        <w:t xml:space="preserve">157 </w:t>
      </w:r>
      <w:r>
        <w:t xml:space="preserve"> от «</w:t>
      </w:r>
      <w:r w:rsidR="00F9514A">
        <w:t>14</w:t>
      </w:r>
      <w:r>
        <w:t>»</w:t>
      </w:r>
      <w:r w:rsidR="00F9514A">
        <w:t xml:space="preserve">ноября </w:t>
      </w:r>
      <w:r>
        <w:t>2012г.</w:t>
      </w:r>
    </w:p>
    <w:p w:rsidR="00312923" w:rsidRPr="00312923" w:rsidRDefault="00BF6A5D" w:rsidP="00312923">
      <w:pPr>
        <w:pStyle w:val="aa"/>
        <w:jc w:val="right"/>
      </w:pPr>
      <w:r>
        <w:t>Совета депутатов</w:t>
      </w:r>
      <w:r w:rsidR="00312923" w:rsidRPr="00312923">
        <w:t xml:space="preserve"> Муниципального Образования </w:t>
      </w:r>
    </w:p>
    <w:p w:rsidR="00802FB2" w:rsidRPr="00312923" w:rsidRDefault="00312923" w:rsidP="00312923">
      <w:pPr>
        <w:pStyle w:val="a9"/>
        <w:spacing w:line="360" w:lineRule="auto"/>
        <w:ind w:left="0"/>
        <w:jc w:val="right"/>
      </w:pPr>
      <w:r w:rsidRPr="00312923">
        <w:t>«Турунтаевское» сельское поселение</w:t>
      </w:r>
      <w:r w:rsidR="00802FB2" w:rsidRPr="00312923">
        <w:t xml:space="preserve">                                                     </w:t>
      </w:r>
    </w:p>
    <w:p w:rsidR="00802FB2" w:rsidRPr="00802FB2" w:rsidRDefault="00802FB2" w:rsidP="00802FB2">
      <w:pPr>
        <w:pStyle w:val="a9"/>
        <w:spacing w:line="360" w:lineRule="auto"/>
        <w:ind w:left="0"/>
        <w:jc w:val="right"/>
      </w:pPr>
      <w:r w:rsidRPr="00802FB2">
        <w:t xml:space="preserve">В.И. Головин. </w:t>
      </w:r>
    </w:p>
    <w:p w:rsidR="00F01889" w:rsidRPr="00E95016" w:rsidRDefault="00F01889" w:rsidP="00641E19">
      <w:pPr>
        <w:jc w:val="center"/>
        <w:rPr>
          <w:color w:val="333399"/>
        </w:rPr>
      </w:pPr>
    </w:p>
    <w:p w:rsidR="00F01889" w:rsidRDefault="00F01889" w:rsidP="00641E19">
      <w:pPr>
        <w:jc w:val="center"/>
        <w:rPr>
          <w:color w:val="333399"/>
        </w:rPr>
      </w:pPr>
    </w:p>
    <w:p w:rsidR="00641E19" w:rsidRPr="00641E19" w:rsidRDefault="00641E19" w:rsidP="00641E19">
      <w:pPr>
        <w:jc w:val="center"/>
        <w:rPr>
          <w:b/>
          <w:sz w:val="28"/>
          <w:szCs w:val="28"/>
        </w:rPr>
      </w:pPr>
      <w:r w:rsidRPr="00641E19">
        <w:rPr>
          <w:b/>
          <w:sz w:val="28"/>
          <w:szCs w:val="28"/>
        </w:rPr>
        <w:t>Положение</w:t>
      </w:r>
    </w:p>
    <w:p w:rsidR="00F01889" w:rsidRPr="009F0828" w:rsidRDefault="00F9514A" w:rsidP="009F0828">
      <w:pPr>
        <w:pStyle w:val="aa"/>
        <w:jc w:val="center"/>
        <w:rPr>
          <w:b/>
          <w:spacing w:val="3"/>
          <w:sz w:val="28"/>
          <w:szCs w:val="28"/>
        </w:rPr>
      </w:pPr>
      <w:r>
        <w:rPr>
          <w:b/>
          <w:sz w:val="28"/>
          <w:szCs w:val="28"/>
        </w:rPr>
        <w:t xml:space="preserve">  о н</w:t>
      </w:r>
      <w:r w:rsidR="00A66B9F" w:rsidRPr="009F0828">
        <w:rPr>
          <w:b/>
          <w:sz w:val="28"/>
          <w:szCs w:val="28"/>
        </w:rPr>
        <w:t>орматив</w:t>
      </w:r>
      <w:r w:rsidR="00641E19">
        <w:rPr>
          <w:b/>
          <w:sz w:val="28"/>
          <w:szCs w:val="28"/>
        </w:rPr>
        <w:t>ах</w:t>
      </w:r>
      <w:r w:rsidR="00F01889" w:rsidRPr="009F0828">
        <w:rPr>
          <w:b/>
          <w:sz w:val="28"/>
          <w:szCs w:val="28"/>
        </w:rPr>
        <w:t xml:space="preserve"> финансовых затрат на </w:t>
      </w:r>
      <w:r w:rsidR="00F01889" w:rsidRPr="009F0828">
        <w:rPr>
          <w:b/>
          <w:spacing w:val="3"/>
          <w:sz w:val="28"/>
          <w:szCs w:val="28"/>
        </w:rPr>
        <w:t>содержание и</w:t>
      </w:r>
      <w:r w:rsidR="009F0828" w:rsidRPr="009F0828">
        <w:rPr>
          <w:b/>
          <w:spacing w:val="3"/>
          <w:sz w:val="28"/>
          <w:szCs w:val="28"/>
        </w:rPr>
        <w:t xml:space="preserve"> </w:t>
      </w:r>
      <w:r w:rsidR="00F01889" w:rsidRPr="009F0828">
        <w:rPr>
          <w:b/>
          <w:spacing w:val="4"/>
          <w:sz w:val="28"/>
          <w:szCs w:val="28"/>
        </w:rPr>
        <w:t xml:space="preserve">ремонт </w:t>
      </w:r>
      <w:r w:rsidR="00F01889" w:rsidRPr="009F0828">
        <w:rPr>
          <w:b/>
          <w:sz w:val="28"/>
          <w:szCs w:val="28"/>
        </w:rPr>
        <w:t xml:space="preserve"> автомобильных дорог местного значения</w:t>
      </w:r>
      <w:r w:rsidR="009F0828" w:rsidRPr="009F0828">
        <w:rPr>
          <w:b/>
          <w:spacing w:val="3"/>
          <w:sz w:val="28"/>
          <w:szCs w:val="28"/>
        </w:rPr>
        <w:t xml:space="preserve"> </w:t>
      </w:r>
      <w:r w:rsidR="00F01889" w:rsidRPr="009F0828">
        <w:rPr>
          <w:b/>
          <w:sz w:val="28"/>
          <w:szCs w:val="28"/>
        </w:rPr>
        <w:t xml:space="preserve">в границах </w:t>
      </w:r>
      <w:r w:rsidR="00802FB2" w:rsidRPr="009F0828">
        <w:rPr>
          <w:b/>
          <w:sz w:val="28"/>
          <w:szCs w:val="28"/>
        </w:rPr>
        <w:t xml:space="preserve">«Турунтаевское» с\п  </w:t>
      </w:r>
      <w:r w:rsidR="009F0828">
        <w:rPr>
          <w:b/>
          <w:sz w:val="28"/>
          <w:szCs w:val="28"/>
        </w:rPr>
        <w:t>на 2013 год.</w:t>
      </w:r>
    </w:p>
    <w:p w:rsidR="00F01889" w:rsidRPr="009F0828" w:rsidRDefault="00F01889" w:rsidP="00802FB2">
      <w:pPr>
        <w:pStyle w:val="31"/>
        <w:jc w:val="center"/>
        <w:rPr>
          <w:b/>
          <w:color w:val="333399"/>
          <w:spacing w:val="2"/>
          <w:sz w:val="28"/>
          <w:szCs w:val="28"/>
        </w:rPr>
      </w:pPr>
    </w:p>
    <w:p w:rsidR="009F0828" w:rsidRDefault="00A66B9F" w:rsidP="00A66B9F">
      <w:pPr>
        <w:pStyle w:val="aa"/>
        <w:ind w:firstLine="708"/>
        <w:jc w:val="both"/>
      </w:pPr>
      <w:r>
        <w:t>В настоящих</w:t>
      </w:r>
      <w:r w:rsidR="00F01889" w:rsidRPr="00E95016">
        <w:rPr>
          <w:spacing w:val="5"/>
        </w:rPr>
        <w:t xml:space="preserve"> нормативах</w:t>
      </w:r>
      <w:r>
        <w:rPr>
          <w:spacing w:val="5"/>
        </w:rPr>
        <w:t xml:space="preserve"> определен размер</w:t>
      </w:r>
      <w:r w:rsidR="00F01889" w:rsidRPr="00E95016">
        <w:rPr>
          <w:spacing w:val="5"/>
        </w:rPr>
        <w:t xml:space="preserve"> финансовых затрат на </w:t>
      </w:r>
      <w:r w:rsidR="00F01889" w:rsidRPr="00E95016">
        <w:rPr>
          <w:spacing w:val="3"/>
        </w:rPr>
        <w:t xml:space="preserve">содержание и </w:t>
      </w:r>
      <w:r w:rsidR="00F01889" w:rsidRPr="00E95016">
        <w:rPr>
          <w:spacing w:val="4"/>
        </w:rPr>
        <w:t xml:space="preserve"> ремонт </w:t>
      </w:r>
      <w:r w:rsidR="00F01889" w:rsidRPr="00E95016">
        <w:rPr>
          <w:spacing w:val="5"/>
        </w:rPr>
        <w:t xml:space="preserve"> </w:t>
      </w:r>
      <w:r w:rsidR="00F01889" w:rsidRPr="00E95016">
        <w:t xml:space="preserve">автомобильных дорог местного значения в границах </w:t>
      </w:r>
      <w:r w:rsidR="00802FB2" w:rsidRPr="00802FB2">
        <w:t>«Турунтаевское» с\п</w:t>
      </w:r>
      <w:r>
        <w:t>. обеспечивающие их технико-эксплуатационное состояние, допустимое по условиям безопасности дорожного движения, в соответствии с требованиями нормативных документов.</w:t>
      </w:r>
      <w:r w:rsidR="00802FB2" w:rsidRPr="00802FB2">
        <w:t xml:space="preserve">                                       </w:t>
      </w:r>
      <w:r w:rsidR="00802FB2">
        <w:t xml:space="preserve">              </w:t>
      </w:r>
    </w:p>
    <w:p w:rsidR="00F01889" w:rsidRDefault="009F0828" w:rsidP="00A66B9F">
      <w:pPr>
        <w:pStyle w:val="aa"/>
        <w:ind w:firstLine="708"/>
        <w:jc w:val="both"/>
      </w:pPr>
      <w:r>
        <w:t>Настоящие  нормативы  предназначены для определения, планирования и распределения финансовых  и материальных-</w:t>
      </w:r>
      <w:r w:rsidR="00641E19">
        <w:t xml:space="preserve"> </w:t>
      </w:r>
      <w:r>
        <w:t>технических ресурсов, направляемых на содержание  и ремонт автомобильных дорог местного значения.</w:t>
      </w:r>
    </w:p>
    <w:p w:rsidR="00F01889" w:rsidRDefault="004F5326" w:rsidP="00782E0F">
      <w:pPr>
        <w:pStyle w:val="aa"/>
        <w:ind w:firstLine="708"/>
        <w:jc w:val="both"/>
      </w:pPr>
      <w:r>
        <w:t>При разработке настоящих нормативов учтен допустимый уровень летнего и зимнего содержания автомобильных дорог общего пользования, соответствующий требованиям ГОСТ Р 50597-93 «Автомобильные дороги» и улицы. Требования  к эксплуатационному состоянию, допустимому по условиям безопасности дорожного движения.</w:t>
      </w:r>
    </w:p>
    <w:p w:rsidR="004F5326" w:rsidRDefault="004F5326" w:rsidP="00802FB2">
      <w:pPr>
        <w:pStyle w:val="aa"/>
        <w:jc w:val="both"/>
      </w:pPr>
    </w:p>
    <w:p w:rsidR="004F5326" w:rsidRDefault="004F5326" w:rsidP="00802FB2">
      <w:pPr>
        <w:pStyle w:val="aa"/>
        <w:jc w:val="both"/>
      </w:pPr>
      <w:r>
        <w:t>Примечания:</w:t>
      </w:r>
    </w:p>
    <w:p w:rsidR="0016588D" w:rsidRDefault="004F5326" w:rsidP="0016588D">
      <w:pPr>
        <w:pStyle w:val="aa"/>
        <w:ind w:firstLine="708"/>
        <w:jc w:val="both"/>
      </w:pPr>
      <w:r>
        <w:t>1.Настоящие нормативы рассчитаны с учетом норм оплаты труда, стоимости материально-технических ресурсов</w:t>
      </w:r>
      <w:r w:rsidR="0016588D">
        <w:t xml:space="preserve"> по состоянию на 01.11.2012 г и должны  пересчитываться при изменении норм оплаты труда и стоимости указанных ресурсов.</w:t>
      </w:r>
    </w:p>
    <w:p w:rsidR="0016588D" w:rsidRPr="00E95016" w:rsidRDefault="0016588D" w:rsidP="0016588D">
      <w:pPr>
        <w:pStyle w:val="aa"/>
        <w:ind w:firstLine="708"/>
        <w:jc w:val="both"/>
      </w:pPr>
      <w:r>
        <w:t>2.Годовые затраты на содержание автомобильных дорог общего пользования определяются установленной долей от объема средств, предусмотренных в местном бюджете на содержание сети автомобильных дорог общего пользования в соответствии с местным бюджетом на соответствующий финансовый год.</w:t>
      </w:r>
    </w:p>
    <w:p w:rsidR="0016588D" w:rsidRDefault="0016588D" w:rsidP="00A66B9F">
      <w:pPr>
        <w:pStyle w:val="aa"/>
        <w:jc w:val="center"/>
        <w:rPr>
          <w:b/>
        </w:rPr>
      </w:pPr>
    </w:p>
    <w:p w:rsidR="00F01889" w:rsidRPr="00E95016" w:rsidRDefault="00F01889" w:rsidP="00A66B9F">
      <w:pPr>
        <w:pStyle w:val="aa"/>
        <w:jc w:val="center"/>
        <w:rPr>
          <w:b/>
          <w:spacing w:val="5"/>
        </w:rPr>
      </w:pPr>
      <w:r w:rsidRPr="00E95016">
        <w:rPr>
          <w:b/>
        </w:rPr>
        <w:t>Общие положения</w:t>
      </w:r>
    </w:p>
    <w:p w:rsidR="00F01889" w:rsidRPr="00E95016" w:rsidRDefault="00F01889" w:rsidP="00802FB2">
      <w:pPr>
        <w:pStyle w:val="aa"/>
        <w:jc w:val="both"/>
        <w:rPr>
          <w:b/>
        </w:rPr>
      </w:pPr>
    </w:p>
    <w:p w:rsidR="00802FB2" w:rsidRDefault="00F01889" w:rsidP="00802FB2">
      <w:pPr>
        <w:pStyle w:val="aa"/>
        <w:jc w:val="both"/>
      </w:pPr>
      <w:r w:rsidRPr="00E95016">
        <w:t xml:space="preserve">1.1. Финансовое обеспечение организации работ, услуг по содержанию и ремонту автомобильных дорог местного значения в границах </w:t>
      </w:r>
      <w:r w:rsidR="00802FB2" w:rsidRPr="00802FB2">
        <w:t xml:space="preserve">«Турунтаевское» с\п                                       </w:t>
      </w:r>
      <w:r w:rsidR="00802FB2">
        <w:t xml:space="preserve">              </w:t>
      </w:r>
      <w:r w:rsidRPr="00E95016">
        <w:t xml:space="preserve">является расходным обязательством муниципального образования </w:t>
      </w:r>
      <w:r w:rsidR="00802FB2" w:rsidRPr="00802FB2">
        <w:t xml:space="preserve">«Турунтаевское» с\п                                       </w:t>
      </w:r>
      <w:r w:rsidR="00802FB2">
        <w:t xml:space="preserve">              </w:t>
      </w:r>
    </w:p>
    <w:p w:rsidR="00F01889" w:rsidRPr="00E95016" w:rsidRDefault="00F01889" w:rsidP="00802FB2">
      <w:pPr>
        <w:pStyle w:val="aa"/>
        <w:jc w:val="both"/>
      </w:pPr>
      <w:r w:rsidRPr="00E95016">
        <w:t xml:space="preserve">1.2. Выполнение работ, оказание услуг по </w:t>
      </w:r>
      <w:r w:rsidRPr="00E95016">
        <w:rPr>
          <w:spacing w:val="5"/>
        </w:rPr>
        <w:t xml:space="preserve">содержанию и ремонту </w:t>
      </w:r>
      <w:r w:rsidRPr="00E95016">
        <w:t xml:space="preserve">автомобильных дорог местного значения в границах </w:t>
      </w:r>
      <w:r w:rsidR="00802FB2" w:rsidRPr="00802FB2">
        <w:t xml:space="preserve">«Турунтаевское» с\п                                       </w:t>
      </w:r>
      <w:r w:rsidR="00802FB2">
        <w:t xml:space="preserve">              </w:t>
      </w:r>
      <w:r w:rsidRPr="00E95016">
        <w:t>осуществляются путем размещения муниципального заказа в порядке, установленном действующим  законодательством.</w:t>
      </w:r>
    </w:p>
    <w:p w:rsidR="00F01889" w:rsidRPr="00E95016" w:rsidRDefault="00F01889" w:rsidP="00802FB2">
      <w:pPr>
        <w:pStyle w:val="aa"/>
        <w:jc w:val="both"/>
      </w:pPr>
      <w:r w:rsidRPr="00E95016">
        <w:t xml:space="preserve">1.3. Источником финансирования работ, услуг по </w:t>
      </w:r>
      <w:r w:rsidRPr="00E95016">
        <w:rPr>
          <w:spacing w:val="5"/>
        </w:rPr>
        <w:t xml:space="preserve">содержанию и ремонту </w:t>
      </w:r>
      <w:r w:rsidRPr="00E95016">
        <w:t xml:space="preserve">автомобильных дорог местного значения в границах </w:t>
      </w:r>
      <w:r w:rsidR="00802FB2" w:rsidRPr="00802FB2">
        <w:t xml:space="preserve">«Турунтаевское» с\п                                       </w:t>
      </w:r>
      <w:r w:rsidR="00802FB2">
        <w:t xml:space="preserve">              </w:t>
      </w:r>
      <w:r w:rsidRPr="00E95016">
        <w:t xml:space="preserve">являются средства бюджета </w:t>
      </w:r>
      <w:r w:rsidR="00802FB2" w:rsidRPr="00802FB2">
        <w:t xml:space="preserve">«Турунтаевское» с\п                                       </w:t>
      </w:r>
      <w:r w:rsidR="00802FB2">
        <w:t xml:space="preserve">              </w:t>
      </w:r>
      <w:r w:rsidRPr="00E95016">
        <w:t>.</w:t>
      </w:r>
    </w:p>
    <w:p w:rsidR="00F01889" w:rsidRPr="00E95016" w:rsidRDefault="00F01889" w:rsidP="00802FB2">
      <w:pPr>
        <w:pStyle w:val="aa"/>
        <w:jc w:val="both"/>
      </w:pPr>
    </w:p>
    <w:p w:rsidR="00EB2AF9" w:rsidRDefault="00EB2AF9" w:rsidP="0016588D">
      <w:pPr>
        <w:pStyle w:val="aa"/>
        <w:jc w:val="center"/>
        <w:rPr>
          <w:b/>
        </w:rPr>
      </w:pPr>
    </w:p>
    <w:p w:rsidR="0016588D" w:rsidRDefault="00F01889" w:rsidP="0016588D">
      <w:pPr>
        <w:pStyle w:val="aa"/>
        <w:jc w:val="center"/>
        <w:rPr>
          <w:b/>
        </w:rPr>
      </w:pPr>
      <w:r w:rsidRPr="00E95016">
        <w:rPr>
          <w:b/>
        </w:rPr>
        <w:t>2.Формирование   нормативов финансовых затрат на</w:t>
      </w:r>
    </w:p>
    <w:p w:rsidR="00F01889" w:rsidRPr="001E42C1" w:rsidRDefault="00F01889" w:rsidP="0016588D">
      <w:pPr>
        <w:pStyle w:val="aa"/>
        <w:jc w:val="center"/>
        <w:rPr>
          <w:b/>
        </w:rPr>
      </w:pPr>
      <w:r w:rsidRPr="00E95016">
        <w:rPr>
          <w:b/>
        </w:rPr>
        <w:lastRenderedPageBreak/>
        <w:t xml:space="preserve">содержание  и ремонт автомобильных дорог местного значения в </w:t>
      </w:r>
      <w:r w:rsidRPr="001E42C1">
        <w:rPr>
          <w:b/>
        </w:rPr>
        <w:t xml:space="preserve">границах </w:t>
      </w:r>
      <w:r w:rsidR="00802FB2" w:rsidRPr="001E42C1">
        <w:rPr>
          <w:b/>
        </w:rPr>
        <w:t>«Турунтаевское» с\п</w:t>
      </w:r>
    </w:p>
    <w:p w:rsidR="00F01889" w:rsidRPr="001E42C1" w:rsidRDefault="00F01889" w:rsidP="00802FB2">
      <w:pPr>
        <w:pStyle w:val="aa"/>
        <w:jc w:val="both"/>
        <w:rPr>
          <w:b/>
        </w:rPr>
      </w:pPr>
    </w:p>
    <w:p w:rsidR="00F01889" w:rsidRPr="00E95016" w:rsidRDefault="00F01889" w:rsidP="00802FB2">
      <w:pPr>
        <w:pStyle w:val="aa"/>
        <w:jc w:val="both"/>
      </w:pPr>
      <w:r w:rsidRPr="00E95016">
        <w:t xml:space="preserve">          2.1. За базу расчетных показателей принимаются фактические расходы отчетного финансового года, анализ  исполнения расходов, данные бухгалтерской и статистической отчетности за предшествующие два финансовых года.</w:t>
      </w:r>
    </w:p>
    <w:p w:rsidR="00F01889" w:rsidRPr="00E95016" w:rsidRDefault="00F01889" w:rsidP="00802FB2">
      <w:pPr>
        <w:pStyle w:val="aa"/>
        <w:jc w:val="both"/>
      </w:pPr>
      <w:r w:rsidRPr="00E95016">
        <w:t xml:space="preserve">          2.3.</w:t>
      </w:r>
      <w:r w:rsidRPr="00E95016">
        <w:rPr>
          <w:b/>
        </w:rPr>
        <w:t xml:space="preserve"> </w:t>
      </w:r>
      <w:r w:rsidRPr="00E95016">
        <w:t>Норматив</w:t>
      </w:r>
      <w:r w:rsidRPr="00E95016">
        <w:rPr>
          <w:b/>
        </w:rPr>
        <w:t xml:space="preserve"> </w:t>
      </w:r>
      <w:r w:rsidRPr="00E95016">
        <w:t>финансовых затрат</w:t>
      </w:r>
      <w:r w:rsidRPr="00E95016">
        <w:rPr>
          <w:b/>
        </w:rPr>
        <w:t xml:space="preserve"> </w:t>
      </w:r>
      <w:r w:rsidRPr="00E95016">
        <w:t xml:space="preserve">на содержание и ремонт автомобильных дорог местного значения определен  из расчета </w:t>
      </w:r>
      <w:r w:rsidR="00EB2AF9">
        <w:t>117,28</w:t>
      </w:r>
      <w:r w:rsidRPr="00E95016">
        <w:t xml:space="preserve"> рублей на </w:t>
      </w:r>
      <w:smartTag w:uri="urn:schemas-microsoft-com:office:smarttags" w:element="metricconverter">
        <w:smartTagPr>
          <w:attr w:name="ProductID" w:val="1 м2"/>
        </w:smartTagPr>
        <w:r w:rsidRPr="00E95016">
          <w:t>1 м2</w:t>
        </w:r>
      </w:smartTag>
      <w:r w:rsidRPr="00E95016">
        <w:t xml:space="preserve"> дороги, в том числе:</w:t>
      </w:r>
    </w:p>
    <w:p w:rsidR="00F01889" w:rsidRPr="00E95016" w:rsidRDefault="00F01889" w:rsidP="00802FB2">
      <w:pPr>
        <w:pStyle w:val="aa"/>
        <w:jc w:val="both"/>
      </w:pPr>
      <w:r w:rsidRPr="00E95016">
        <w:t xml:space="preserve">- норматив финансовых затрат на  ремонт </w:t>
      </w:r>
      <w:smartTag w:uri="urn:schemas-microsoft-com:office:smarttags" w:element="metricconverter">
        <w:smartTagPr>
          <w:attr w:name="ProductID" w:val="1 м2"/>
        </w:smartTagPr>
        <w:r w:rsidRPr="00E95016">
          <w:t>1 м2</w:t>
        </w:r>
      </w:smartTag>
      <w:r w:rsidRPr="00E95016">
        <w:t xml:space="preserve"> дорог определен в сумме </w:t>
      </w:r>
      <w:r w:rsidR="00EB2AF9">
        <w:t>58,34</w:t>
      </w:r>
      <w:r w:rsidRPr="00E95016">
        <w:t xml:space="preserve"> руб.;</w:t>
      </w:r>
    </w:p>
    <w:p w:rsidR="00F01889" w:rsidRPr="00E95016" w:rsidRDefault="00F01889" w:rsidP="00802FB2">
      <w:pPr>
        <w:pStyle w:val="aa"/>
        <w:jc w:val="both"/>
      </w:pPr>
      <w:r w:rsidRPr="00E95016">
        <w:t xml:space="preserve">- норматив финансовых затрат на содержание </w:t>
      </w:r>
      <w:smartTag w:uri="urn:schemas-microsoft-com:office:smarttags" w:element="metricconverter">
        <w:smartTagPr>
          <w:attr w:name="ProductID" w:val="1 м2"/>
        </w:smartTagPr>
        <w:r w:rsidRPr="00E95016">
          <w:t>1 м2</w:t>
        </w:r>
      </w:smartTag>
      <w:r w:rsidRPr="00E95016">
        <w:t xml:space="preserve"> дорог в зимнее время  -  </w:t>
      </w:r>
      <w:r w:rsidR="00EB2AF9">
        <w:t>36,41</w:t>
      </w:r>
      <w:r w:rsidRPr="00E95016">
        <w:t xml:space="preserve"> руб.;</w:t>
      </w:r>
    </w:p>
    <w:p w:rsidR="00F01889" w:rsidRPr="00E95016" w:rsidRDefault="00F01889" w:rsidP="00802FB2">
      <w:pPr>
        <w:pStyle w:val="aa"/>
        <w:jc w:val="both"/>
      </w:pPr>
      <w:r w:rsidRPr="00E95016">
        <w:t xml:space="preserve">- норматив финансовых затрат на содержание </w:t>
      </w:r>
      <w:smartTag w:uri="urn:schemas-microsoft-com:office:smarttags" w:element="metricconverter">
        <w:smartTagPr>
          <w:attr w:name="ProductID" w:val="1 м2"/>
        </w:smartTagPr>
        <w:r w:rsidRPr="00E95016">
          <w:t>1 м2</w:t>
        </w:r>
      </w:smartTag>
      <w:r w:rsidRPr="00E95016">
        <w:t xml:space="preserve"> дорог в летнее время –  </w:t>
      </w:r>
      <w:r w:rsidR="00EB2AF9">
        <w:t>22,53</w:t>
      </w:r>
      <w:r w:rsidR="00E453C2">
        <w:t xml:space="preserve"> </w:t>
      </w:r>
      <w:r w:rsidRPr="00E95016">
        <w:t>руб.</w:t>
      </w:r>
    </w:p>
    <w:p w:rsidR="00F01889" w:rsidRPr="00E95016" w:rsidRDefault="00F01889" w:rsidP="00802FB2">
      <w:pPr>
        <w:pStyle w:val="aa"/>
        <w:jc w:val="both"/>
      </w:pPr>
    </w:p>
    <w:p w:rsidR="00F01889" w:rsidRDefault="00F01889" w:rsidP="00802FB2">
      <w:pPr>
        <w:pStyle w:val="aa"/>
        <w:jc w:val="both"/>
      </w:pPr>
    </w:p>
    <w:p w:rsidR="00445286" w:rsidRDefault="00445286" w:rsidP="00802FB2">
      <w:pPr>
        <w:pStyle w:val="aa"/>
        <w:jc w:val="both"/>
      </w:pPr>
    </w:p>
    <w:p w:rsidR="00445286" w:rsidRDefault="00445286" w:rsidP="00802FB2">
      <w:pPr>
        <w:pStyle w:val="aa"/>
        <w:jc w:val="both"/>
      </w:pPr>
    </w:p>
    <w:p w:rsidR="00445286" w:rsidRDefault="00445286" w:rsidP="00802FB2">
      <w:pPr>
        <w:pStyle w:val="aa"/>
        <w:jc w:val="both"/>
      </w:pPr>
    </w:p>
    <w:p w:rsidR="00445286" w:rsidRDefault="00445286" w:rsidP="00802FB2">
      <w:pPr>
        <w:pStyle w:val="aa"/>
        <w:jc w:val="both"/>
      </w:pPr>
    </w:p>
    <w:p w:rsidR="00445286" w:rsidRDefault="00445286" w:rsidP="00802FB2">
      <w:pPr>
        <w:pStyle w:val="aa"/>
        <w:jc w:val="both"/>
      </w:pPr>
    </w:p>
    <w:p w:rsidR="00445286" w:rsidRDefault="00445286" w:rsidP="00802FB2">
      <w:pPr>
        <w:pStyle w:val="aa"/>
        <w:jc w:val="both"/>
      </w:pPr>
    </w:p>
    <w:p w:rsidR="00445286" w:rsidRDefault="00445286" w:rsidP="00802FB2">
      <w:pPr>
        <w:pStyle w:val="aa"/>
        <w:jc w:val="both"/>
      </w:pPr>
    </w:p>
    <w:p w:rsidR="00445286" w:rsidRDefault="00445286" w:rsidP="00802FB2">
      <w:pPr>
        <w:pStyle w:val="aa"/>
        <w:jc w:val="both"/>
      </w:pPr>
    </w:p>
    <w:p w:rsidR="00445286" w:rsidRDefault="00445286" w:rsidP="00802FB2">
      <w:pPr>
        <w:pStyle w:val="aa"/>
        <w:jc w:val="both"/>
      </w:pPr>
    </w:p>
    <w:p w:rsidR="00445286" w:rsidRDefault="00445286" w:rsidP="00802FB2">
      <w:pPr>
        <w:pStyle w:val="aa"/>
        <w:jc w:val="both"/>
      </w:pPr>
    </w:p>
    <w:p w:rsidR="00445286" w:rsidRDefault="00445286" w:rsidP="00802FB2">
      <w:pPr>
        <w:pStyle w:val="aa"/>
        <w:jc w:val="both"/>
      </w:pPr>
    </w:p>
    <w:p w:rsidR="00445286" w:rsidRDefault="00445286" w:rsidP="00802FB2">
      <w:pPr>
        <w:pStyle w:val="aa"/>
        <w:jc w:val="both"/>
      </w:pPr>
    </w:p>
    <w:p w:rsidR="00445286" w:rsidRDefault="00445286" w:rsidP="00802FB2">
      <w:pPr>
        <w:pStyle w:val="aa"/>
        <w:jc w:val="both"/>
      </w:pPr>
    </w:p>
    <w:p w:rsidR="00445286" w:rsidRDefault="00445286" w:rsidP="00802FB2">
      <w:pPr>
        <w:pStyle w:val="aa"/>
        <w:jc w:val="both"/>
      </w:pPr>
    </w:p>
    <w:p w:rsidR="00445286" w:rsidRDefault="00445286" w:rsidP="00802FB2">
      <w:pPr>
        <w:pStyle w:val="aa"/>
        <w:jc w:val="both"/>
      </w:pPr>
    </w:p>
    <w:p w:rsidR="00445286" w:rsidRDefault="00445286" w:rsidP="00802FB2">
      <w:pPr>
        <w:pStyle w:val="aa"/>
        <w:jc w:val="both"/>
      </w:pPr>
    </w:p>
    <w:p w:rsidR="00445286" w:rsidRDefault="00445286" w:rsidP="00802FB2">
      <w:pPr>
        <w:pStyle w:val="aa"/>
        <w:jc w:val="both"/>
      </w:pPr>
    </w:p>
    <w:p w:rsidR="00445286" w:rsidRDefault="00445286" w:rsidP="00802FB2">
      <w:pPr>
        <w:pStyle w:val="aa"/>
        <w:jc w:val="both"/>
      </w:pPr>
    </w:p>
    <w:p w:rsidR="00445286" w:rsidRDefault="00445286" w:rsidP="00802FB2">
      <w:pPr>
        <w:pStyle w:val="aa"/>
        <w:jc w:val="both"/>
      </w:pPr>
    </w:p>
    <w:p w:rsidR="00445286" w:rsidRDefault="00445286" w:rsidP="00802FB2">
      <w:pPr>
        <w:pStyle w:val="aa"/>
        <w:jc w:val="both"/>
      </w:pPr>
    </w:p>
    <w:p w:rsidR="00445286" w:rsidRDefault="00445286" w:rsidP="00802FB2">
      <w:pPr>
        <w:pStyle w:val="aa"/>
        <w:jc w:val="both"/>
      </w:pPr>
    </w:p>
    <w:p w:rsidR="00445286" w:rsidRDefault="00445286" w:rsidP="00802FB2">
      <w:pPr>
        <w:pStyle w:val="aa"/>
        <w:jc w:val="both"/>
      </w:pPr>
    </w:p>
    <w:p w:rsidR="00445286" w:rsidRDefault="00445286" w:rsidP="00802FB2">
      <w:pPr>
        <w:pStyle w:val="aa"/>
        <w:jc w:val="both"/>
      </w:pPr>
    </w:p>
    <w:p w:rsidR="00445286" w:rsidRDefault="00445286" w:rsidP="00802FB2">
      <w:pPr>
        <w:pStyle w:val="aa"/>
        <w:jc w:val="both"/>
      </w:pPr>
    </w:p>
    <w:p w:rsidR="00445286" w:rsidRDefault="00445286" w:rsidP="00802FB2">
      <w:pPr>
        <w:pStyle w:val="aa"/>
        <w:jc w:val="both"/>
      </w:pPr>
    </w:p>
    <w:p w:rsidR="00445286" w:rsidRDefault="00445286" w:rsidP="00802FB2">
      <w:pPr>
        <w:pStyle w:val="aa"/>
        <w:jc w:val="both"/>
      </w:pPr>
    </w:p>
    <w:p w:rsidR="00445286" w:rsidRDefault="00445286" w:rsidP="00802FB2">
      <w:pPr>
        <w:pStyle w:val="aa"/>
        <w:jc w:val="both"/>
      </w:pPr>
    </w:p>
    <w:p w:rsidR="00445286" w:rsidRDefault="00445286" w:rsidP="00802FB2">
      <w:pPr>
        <w:pStyle w:val="aa"/>
        <w:jc w:val="both"/>
      </w:pPr>
    </w:p>
    <w:p w:rsidR="00445286" w:rsidRDefault="00445286" w:rsidP="00802FB2">
      <w:pPr>
        <w:pStyle w:val="aa"/>
        <w:jc w:val="both"/>
      </w:pPr>
    </w:p>
    <w:p w:rsidR="00445286" w:rsidRDefault="00445286" w:rsidP="00802FB2">
      <w:pPr>
        <w:pStyle w:val="aa"/>
        <w:jc w:val="both"/>
      </w:pPr>
    </w:p>
    <w:p w:rsidR="00445286" w:rsidRDefault="00445286" w:rsidP="00802FB2">
      <w:pPr>
        <w:pStyle w:val="aa"/>
        <w:jc w:val="both"/>
      </w:pPr>
    </w:p>
    <w:p w:rsidR="00445286" w:rsidRDefault="00445286" w:rsidP="00802FB2">
      <w:pPr>
        <w:pStyle w:val="aa"/>
        <w:jc w:val="both"/>
      </w:pPr>
    </w:p>
    <w:p w:rsidR="00445286" w:rsidRDefault="00445286" w:rsidP="00802FB2">
      <w:pPr>
        <w:pStyle w:val="aa"/>
        <w:jc w:val="both"/>
      </w:pPr>
    </w:p>
    <w:p w:rsidR="00445286" w:rsidRDefault="00445286" w:rsidP="00802FB2">
      <w:pPr>
        <w:pStyle w:val="aa"/>
        <w:jc w:val="both"/>
      </w:pPr>
    </w:p>
    <w:p w:rsidR="00445286" w:rsidRDefault="00445286" w:rsidP="00802FB2">
      <w:pPr>
        <w:pStyle w:val="aa"/>
        <w:jc w:val="both"/>
      </w:pPr>
    </w:p>
    <w:p w:rsidR="00445286" w:rsidRDefault="00445286" w:rsidP="00802FB2">
      <w:pPr>
        <w:pStyle w:val="aa"/>
        <w:jc w:val="both"/>
      </w:pPr>
    </w:p>
    <w:p w:rsidR="00445286" w:rsidRDefault="00445286" w:rsidP="00802FB2">
      <w:pPr>
        <w:pStyle w:val="aa"/>
        <w:jc w:val="both"/>
      </w:pPr>
    </w:p>
    <w:p w:rsidR="00445286" w:rsidRDefault="00445286" w:rsidP="00802FB2">
      <w:pPr>
        <w:pStyle w:val="aa"/>
        <w:jc w:val="both"/>
      </w:pPr>
    </w:p>
    <w:p w:rsidR="00445286" w:rsidRDefault="00445286" w:rsidP="00802FB2">
      <w:pPr>
        <w:pStyle w:val="aa"/>
        <w:jc w:val="both"/>
      </w:pPr>
    </w:p>
    <w:p w:rsidR="00445286" w:rsidRDefault="00445286" w:rsidP="00802FB2">
      <w:pPr>
        <w:pStyle w:val="aa"/>
        <w:jc w:val="both"/>
      </w:pPr>
    </w:p>
    <w:p w:rsidR="00445286" w:rsidRDefault="00445286" w:rsidP="00802FB2">
      <w:pPr>
        <w:pStyle w:val="aa"/>
        <w:jc w:val="both"/>
      </w:pPr>
    </w:p>
    <w:p w:rsidR="00445286" w:rsidRPr="00E95016" w:rsidRDefault="00445286" w:rsidP="00802FB2">
      <w:pPr>
        <w:pStyle w:val="aa"/>
        <w:jc w:val="both"/>
      </w:pPr>
    </w:p>
    <w:p w:rsidR="00445286" w:rsidRDefault="00445286" w:rsidP="00445286">
      <w:pPr>
        <w:pStyle w:val="ConsPlusTitle"/>
        <w:jc w:val="right"/>
      </w:pPr>
      <w:r>
        <w:t xml:space="preserve">Приложение №2 к решению </w:t>
      </w:r>
    </w:p>
    <w:p w:rsidR="00445286" w:rsidRDefault="00584899" w:rsidP="00445286">
      <w:pPr>
        <w:pStyle w:val="ConsPlusTitle"/>
        <w:jc w:val="right"/>
      </w:pPr>
      <w:r>
        <w:t xml:space="preserve">№157 </w:t>
      </w:r>
      <w:r w:rsidR="00445286">
        <w:t>от «</w:t>
      </w:r>
      <w:r w:rsidR="00F9514A">
        <w:t>14</w:t>
      </w:r>
      <w:r w:rsidR="00445286">
        <w:t>»</w:t>
      </w:r>
      <w:r w:rsidR="00F9514A">
        <w:t xml:space="preserve"> ноября </w:t>
      </w:r>
      <w:r w:rsidR="00445286">
        <w:t xml:space="preserve">2012 г </w:t>
      </w:r>
    </w:p>
    <w:p w:rsidR="00312923" w:rsidRPr="00312923" w:rsidRDefault="00BF6A5D" w:rsidP="00312923">
      <w:pPr>
        <w:pStyle w:val="aa"/>
        <w:jc w:val="right"/>
        <w:rPr>
          <w:b/>
        </w:rPr>
      </w:pPr>
      <w:r>
        <w:rPr>
          <w:b/>
        </w:rPr>
        <w:t>Совета депутатов</w:t>
      </w:r>
      <w:r w:rsidR="00312923" w:rsidRPr="00312923">
        <w:rPr>
          <w:b/>
        </w:rPr>
        <w:t xml:space="preserve"> Муниципального Образования </w:t>
      </w:r>
    </w:p>
    <w:p w:rsidR="00312923" w:rsidRPr="00312923" w:rsidRDefault="00312923" w:rsidP="00312923">
      <w:pPr>
        <w:pStyle w:val="a9"/>
        <w:spacing w:line="360" w:lineRule="auto"/>
        <w:ind w:left="0"/>
        <w:jc w:val="right"/>
        <w:rPr>
          <w:b/>
        </w:rPr>
      </w:pPr>
      <w:r w:rsidRPr="00312923">
        <w:rPr>
          <w:b/>
        </w:rPr>
        <w:t xml:space="preserve">«Турунтаевское» сельское поселение                                                     </w:t>
      </w:r>
    </w:p>
    <w:p w:rsidR="00445286" w:rsidRDefault="00312923" w:rsidP="00312923">
      <w:pPr>
        <w:pStyle w:val="ConsPlusTitle"/>
        <w:jc w:val="right"/>
      </w:pPr>
      <w:r w:rsidRPr="00802FB2">
        <w:t>В.И. Головин</w:t>
      </w:r>
    </w:p>
    <w:p w:rsidR="00445286" w:rsidRDefault="00445286" w:rsidP="00445286">
      <w:pPr>
        <w:pStyle w:val="ConsPlusTitle"/>
        <w:jc w:val="center"/>
      </w:pPr>
    </w:p>
    <w:p w:rsidR="004D14EB" w:rsidRPr="00B91748" w:rsidRDefault="00445286" w:rsidP="004D14EB">
      <w:pPr>
        <w:pStyle w:val="ConsPlusTitle"/>
        <w:jc w:val="center"/>
      </w:pPr>
      <w:r w:rsidRPr="00B91748">
        <w:t>ПРАВИЛА</w:t>
      </w:r>
    </w:p>
    <w:p w:rsidR="00445286" w:rsidRPr="004D14EB" w:rsidRDefault="00445286" w:rsidP="004D14EB">
      <w:pPr>
        <w:pStyle w:val="ConsPlusTitle"/>
        <w:jc w:val="center"/>
        <w:rPr>
          <w:sz w:val="22"/>
          <w:szCs w:val="22"/>
        </w:rPr>
      </w:pPr>
      <w:r w:rsidRPr="004D14EB">
        <w:rPr>
          <w:sz w:val="22"/>
          <w:szCs w:val="22"/>
        </w:rPr>
        <w:t xml:space="preserve">РАСЧЕТА </w:t>
      </w:r>
      <w:r w:rsidR="004D14EB" w:rsidRPr="004D14EB">
        <w:rPr>
          <w:sz w:val="22"/>
          <w:szCs w:val="22"/>
        </w:rPr>
        <w:t xml:space="preserve">ФИНАНСОВЫХ ЗАТРАТ НА СОДЕРЖАНИЕ И РЕМОНТ </w:t>
      </w:r>
      <w:r w:rsidRPr="004D14EB">
        <w:rPr>
          <w:sz w:val="22"/>
          <w:szCs w:val="22"/>
        </w:rPr>
        <w:t>АВТОМОБИЛЬНЫХ</w:t>
      </w:r>
      <w:r w:rsidR="004D14EB">
        <w:rPr>
          <w:sz w:val="22"/>
          <w:szCs w:val="22"/>
        </w:rPr>
        <w:t xml:space="preserve"> </w:t>
      </w:r>
      <w:r w:rsidRPr="004D14EB">
        <w:rPr>
          <w:sz w:val="22"/>
          <w:szCs w:val="22"/>
        </w:rPr>
        <w:t xml:space="preserve">ДОРОГ ОБЩЕГО ПОЛЬЗОВАНИЯ </w:t>
      </w:r>
      <w:r w:rsidR="004D14EB" w:rsidRPr="004D14EB">
        <w:rPr>
          <w:sz w:val="22"/>
          <w:szCs w:val="22"/>
        </w:rPr>
        <w:t xml:space="preserve"> МЕСТНОГО ЗНАЧЕНИЯ </w:t>
      </w:r>
      <w:r w:rsidRPr="004D14EB">
        <w:rPr>
          <w:sz w:val="22"/>
          <w:szCs w:val="22"/>
        </w:rPr>
        <w:t>ПРИ</w:t>
      </w:r>
      <w:r w:rsidR="004D14EB">
        <w:rPr>
          <w:sz w:val="22"/>
          <w:szCs w:val="22"/>
        </w:rPr>
        <w:t xml:space="preserve"> </w:t>
      </w:r>
      <w:r w:rsidRPr="004D14EB">
        <w:rPr>
          <w:sz w:val="22"/>
          <w:szCs w:val="22"/>
        </w:rPr>
        <w:t>ОПРЕДЕЛЕНИИ РАЗМЕРА АССИГНОВАНИЙ ИЗ БЮДЖЕТА</w:t>
      </w:r>
      <w:r w:rsidR="004D14EB" w:rsidRPr="004D14EB">
        <w:rPr>
          <w:sz w:val="22"/>
          <w:szCs w:val="22"/>
        </w:rPr>
        <w:t xml:space="preserve"> «ТУРУНТАЕВСКОЕ СЕЛЬСКОЕ ПОСЕЛЕНИЕ</w:t>
      </w:r>
      <w:r w:rsidRPr="004D14EB">
        <w:rPr>
          <w:sz w:val="22"/>
          <w:szCs w:val="22"/>
        </w:rPr>
        <w:t>, ПРЕДУСМАТРИВАЕМЫХ НА ЭТИ ЦЕЛИ</w:t>
      </w:r>
    </w:p>
    <w:p w:rsidR="00445286" w:rsidRPr="00B91748" w:rsidRDefault="00445286" w:rsidP="00445286">
      <w:pPr>
        <w:autoSpaceDE w:val="0"/>
        <w:autoSpaceDN w:val="0"/>
        <w:adjustRightInd w:val="0"/>
        <w:ind w:firstLine="540"/>
        <w:jc w:val="both"/>
        <w:outlineLvl w:val="0"/>
      </w:pPr>
    </w:p>
    <w:p w:rsidR="00445286" w:rsidRPr="00B91748" w:rsidRDefault="00445286" w:rsidP="00445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748">
        <w:rPr>
          <w:rFonts w:ascii="Times New Roman" w:hAnsi="Times New Roman" w:cs="Times New Roman"/>
          <w:sz w:val="24"/>
          <w:szCs w:val="24"/>
        </w:rPr>
        <w:t xml:space="preserve">    1. Нормативы   </w:t>
      </w:r>
      <w:r w:rsidR="00312923">
        <w:rPr>
          <w:rFonts w:ascii="Times New Roman" w:hAnsi="Times New Roman" w:cs="Times New Roman"/>
          <w:sz w:val="24"/>
          <w:szCs w:val="24"/>
        </w:rPr>
        <w:t>финансовых</w:t>
      </w:r>
      <w:r w:rsidRPr="00B91748">
        <w:rPr>
          <w:rFonts w:ascii="Times New Roman" w:hAnsi="Times New Roman" w:cs="Times New Roman"/>
          <w:sz w:val="24"/>
          <w:szCs w:val="24"/>
        </w:rPr>
        <w:t xml:space="preserve"> затрат  применяются  для  определения  размера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748">
        <w:rPr>
          <w:rFonts w:ascii="Times New Roman" w:hAnsi="Times New Roman" w:cs="Times New Roman"/>
          <w:sz w:val="24"/>
          <w:szCs w:val="24"/>
        </w:rPr>
        <w:t xml:space="preserve">ассигнований </w:t>
      </w:r>
      <w:r>
        <w:rPr>
          <w:rFonts w:ascii="Times New Roman" w:hAnsi="Times New Roman" w:cs="Times New Roman"/>
          <w:sz w:val="24"/>
          <w:szCs w:val="24"/>
        </w:rPr>
        <w:t>из местного</w:t>
      </w:r>
      <w:r w:rsidRPr="00B91748">
        <w:rPr>
          <w:rFonts w:ascii="Times New Roman" w:hAnsi="Times New Roman" w:cs="Times New Roman"/>
          <w:sz w:val="24"/>
          <w:szCs w:val="24"/>
        </w:rPr>
        <w:t xml:space="preserve"> бюджета, предусматриваемых на содержание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748">
        <w:rPr>
          <w:rFonts w:ascii="Times New Roman" w:hAnsi="Times New Roman" w:cs="Times New Roman"/>
          <w:sz w:val="24"/>
          <w:szCs w:val="24"/>
        </w:rPr>
        <w:t xml:space="preserve">ремонт автомобильных дорог общего 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B91748">
        <w:rPr>
          <w:rFonts w:ascii="Times New Roman" w:hAnsi="Times New Roman" w:cs="Times New Roman"/>
          <w:sz w:val="24"/>
          <w:szCs w:val="24"/>
        </w:rPr>
        <w:t>значения.</w:t>
      </w:r>
    </w:p>
    <w:p w:rsidR="00445286" w:rsidRPr="00B91748" w:rsidRDefault="00445286" w:rsidP="00445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748">
        <w:rPr>
          <w:rFonts w:ascii="Times New Roman" w:hAnsi="Times New Roman" w:cs="Times New Roman"/>
          <w:sz w:val="24"/>
          <w:szCs w:val="24"/>
        </w:rPr>
        <w:t xml:space="preserve">    2. В  зависимости  от категории автомобильной дороги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Pr="00B91748">
        <w:rPr>
          <w:rFonts w:ascii="Times New Roman" w:hAnsi="Times New Roman" w:cs="Times New Roman"/>
          <w:sz w:val="24"/>
          <w:szCs w:val="24"/>
        </w:rPr>
        <w:t xml:space="preserve">  значения   и   индекса-дефлятора   на  соответствующий 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748">
        <w:rPr>
          <w:rFonts w:ascii="Times New Roman" w:hAnsi="Times New Roman" w:cs="Times New Roman"/>
          <w:sz w:val="24"/>
          <w:szCs w:val="24"/>
        </w:rPr>
        <w:t>применительно    к   каждой   автомобильной   дороге   общего  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Pr="00B91748">
        <w:rPr>
          <w:rFonts w:ascii="Times New Roman" w:hAnsi="Times New Roman" w:cs="Times New Roman"/>
          <w:sz w:val="24"/>
          <w:szCs w:val="24"/>
        </w:rPr>
        <w:t xml:space="preserve">     значения   определяются   приведенные   нормативы   Н</w:t>
      </w:r>
      <w:r w:rsidRPr="007E2A9B">
        <w:rPr>
          <w:rFonts w:ascii="Times New Roman" w:hAnsi="Times New Roman" w:cs="Times New Roman"/>
          <w:sz w:val="24"/>
          <w:szCs w:val="24"/>
        </w:rPr>
        <w:t xml:space="preserve"> </w:t>
      </w:r>
      <w:r w:rsidRPr="00B91748">
        <w:rPr>
          <w:rFonts w:ascii="Times New Roman" w:hAnsi="Times New Roman" w:cs="Times New Roman"/>
          <w:sz w:val="24"/>
          <w:szCs w:val="24"/>
        </w:rPr>
        <w:t>прив.,                                                                     рассчитываемые по формуле:</w:t>
      </w:r>
    </w:p>
    <w:p w:rsidR="00445286" w:rsidRPr="00B91748" w:rsidRDefault="00445286" w:rsidP="00445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5286" w:rsidRPr="00B91748" w:rsidRDefault="00445286" w:rsidP="00445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748">
        <w:rPr>
          <w:rFonts w:ascii="Times New Roman" w:hAnsi="Times New Roman" w:cs="Times New Roman"/>
          <w:sz w:val="24"/>
          <w:szCs w:val="24"/>
        </w:rPr>
        <w:t xml:space="preserve">    Н      = Н x К     x К    , где:</w:t>
      </w:r>
    </w:p>
    <w:p w:rsidR="00445286" w:rsidRPr="00B91748" w:rsidRDefault="00445286" w:rsidP="00445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748">
        <w:rPr>
          <w:rFonts w:ascii="Times New Roman" w:hAnsi="Times New Roman" w:cs="Times New Roman"/>
          <w:sz w:val="24"/>
          <w:szCs w:val="24"/>
        </w:rPr>
        <w:t xml:space="preserve">     прив.        деф.    кат.</w:t>
      </w:r>
    </w:p>
    <w:p w:rsidR="00445286" w:rsidRPr="00B91748" w:rsidRDefault="00445286" w:rsidP="00445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5286" w:rsidRPr="00B91748" w:rsidRDefault="00445286" w:rsidP="00445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748">
        <w:rPr>
          <w:rFonts w:ascii="Times New Roman" w:hAnsi="Times New Roman" w:cs="Times New Roman"/>
          <w:sz w:val="24"/>
          <w:szCs w:val="24"/>
        </w:rPr>
        <w:t xml:space="preserve">    Н - установленный  норматив </w:t>
      </w:r>
      <w:r w:rsidR="00312923">
        <w:rPr>
          <w:rFonts w:ascii="Times New Roman" w:hAnsi="Times New Roman" w:cs="Times New Roman"/>
          <w:sz w:val="24"/>
          <w:szCs w:val="24"/>
        </w:rPr>
        <w:t>финансовых</w:t>
      </w:r>
      <w:r w:rsidRPr="00B91748">
        <w:rPr>
          <w:rFonts w:ascii="Times New Roman" w:hAnsi="Times New Roman" w:cs="Times New Roman"/>
          <w:sz w:val="24"/>
          <w:szCs w:val="24"/>
        </w:rPr>
        <w:t xml:space="preserve">  затрат  на  содержание  и ремонт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748">
        <w:rPr>
          <w:rFonts w:ascii="Times New Roman" w:hAnsi="Times New Roman" w:cs="Times New Roman"/>
          <w:sz w:val="24"/>
          <w:szCs w:val="24"/>
        </w:rPr>
        <w:t xml:space="preserve">автомобильных  дорог общего 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B91748">
        <w:rPr>
          <w:rFonts w:ascii="Times New Roman" w:hAnsi="Times New Roman" w:cs="Times New Roman"/>
          <w:sz w:val="24"/>
          <w:szCs w:val="24"/>
        </w:rPr>
        <w:t xml:space="preserve">  значения V категории,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748">
        <w:rPr>
          <w:rFonts w:ascii="Times New Roman" w:hAnsi="Times New Roman" w:cs="Times New Roman"/>
          <w:sz w:val="24"/>
          <w:szCs w:val="24"/>
        </w:rPr>
        <w:t>тыс. рублей;</w:t>
      </w:r>
    </w:p>
    <w:p w:rsidR="00445286" w:rsidRPr="00B91748" w:rsidRDefault="00445286" w:rsidP="00445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748">
        <w:rPr>
          <w:rFonts w:ascii="Times New Roman" w:hAnsi="Times New Roman" w:cs="Times New Roman"/>
          <w:sz w:val="24"/>
          <w:szCs w:val="24"/>
        </w:rPr>
        <w:t xml:space="preserve">    К     - индекс-дефлятор  инвестиций  в  основной  капитал  за счет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748">
        <w:rPr>
          <w:rFonts w:ascii="Times New Roman" w:hAnsi="Times New Roman" w:cs="Times New Roman"/>
          <w:sz w:val="24"/>
          <w:szCs w:val="24"/>
        </w:rPr>
        <w:t>источников  финансирования  в  части  ремонта  автомобильных  дорог 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748">
        <w:rPr>
          <w:rFonts w:ascii="Times New Roman" w:hAnsi="Times New Roman" w:cs="Times New Roman"/>
          <w:sz w:val="24"/>
          <w:szCs w:val="24"/>
        </w:rPr>
        <w:t xml:space="preserve">пользования 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B91748">
        <w:rPr>
          <w:rFonts w:ascii="Times New Roman" w:hAnsi="Times New Roman" w:cs="Times New Roman"/>
          <w:sz w:val="24"/>
          <w:szCs w:val="24"/>
        </w:rPr>
        <w:t xml:space="preserve">    значения или индекс потребительских цен в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748">
        <w:rPr>
          <w:rFonts w:ascii="Times New Roman" w:hAnsi="Times New Roman" w:cs="Times New Roman"/>
          <w:sz w:val="24"/>
          <w:szCs w:val="24"/>
        </w:rPr>
        <w:t xml:space="preserve">содержания  автодорог 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B91748">
        <w:rPr>
          <w:rFonts w:ascii="Times New Roman" w:hAnsi="Times New Roman" w:cs="Times New Roman"/>
          <w:sz w:val="24"/>
          <w:szCs w:val="24"/>
        </w:rPr>
        <w:t xml:space="preserve">  значения  на  год  планирования  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748">
        <w:rPr>
          <w:rFonts w:ascii="Times New Roman" w:hAnsi="Times New Roman" w:cs="Times New Roman"/>
          <w:sz w:val="24"/>
          <w:szCs w:val="24"/>
        </w:rPr>
        <w:t>расчете  на  период более одного года - произведение индексов-дефляторов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748">
        <w:rPr>
          <w:rFonts w:ascii="Times New Roman" w:hAnsi="Times New Roman" w:cs="Times New Roman"/>
          <w:sz w:val="24"/>
          <w:szCs w:val="24"/>
        </w:rPr>
        <w:t>соответствующие  годы),  разработанные  Министерством  экономики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748">
        <w:rPr>
          <w:rFonts w:ascii="Times New Roman" w:hAnsi="Times New Roman" w:cs="Times New Roman"/>
          <w:sz w:val="24"/>
          <w:szCs w:val="24"/>
        </w:rPr>
        <w:t>Бурятия для прогноза социально-экономического развития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748">
        <w:rPr>
          <w:rFonts w:ascii="Times New Roman" w:hAnsi="Times New Roman" w:cs="Times New Roman"/>
          <w:sz w:val="24"/>
          <w:szCs w:val="24"/>
        </w:rPr>
        <w:t xml:space="preserve">учитываемые  при  формировании 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B91748">
        <w:rPr>
          <w:rFonts w:ascii="Times New Roman" w:hAnsi="Times New Roman" w:cs="Times New Roman"/>
          <w:sz w:val="24"/>
          <w:szCs w:val="24"/>
        </w:rPr>
        <w:t xml:space="preserve">  бюджета на соответствующий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748">
        <w:rPr>
          <w:rFonts w:ascii="Times New Roman" w:hAnsi="Times New Roman" w:cs="Times New Roman"/>
          <w:sz w:val="24"/>
          <w:szCs w:val="24"/>
        </w:rPr>
        <w:t>финансовый год и плановый период;</w:t>
      </w:r>
    </w:p>
    <w:p w:rsidR="00445286" w:rsidRDefault="00445286" w:rsidP="00445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74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5286" w:rsidRPr="00B91748" w:rsidRDefault="00445286" w:rsidP="00445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748">
        <w:rPr>
          <w:rFonts w:ascii="Times New Roman" w:hAnsi="Times New Roman" w:cs="Times New Roman"/>
          <w:sz w:val="24"/>
          <w:szCs w:val="24"/>
        </w:rPr>
        <w:t>К</w:t>
      </w:r>
      <w:r w:rsidRPr="00445286">
        <w:rPr>
          <w:rFonts w:ascii="Times New Roman" w:hAnsi="Times New Roman" w:cs="Times New Roman"/>
          <w:sz w:val="24"/>
          <w:szCs w:val="24"/>
        </w:rPr>
        <w:t xml:space="preserve"> </w:t>
      </w:r>
      <w:r w:rsidRPr="00B91748">
        <w:rPr>
          <w:rFonts w:ascii="Times New Roman" w:hAnsi="Times New Roman" w:cs="Times New Roman"/>
          <w:sz w:val="24"/>
          <w:szCs w:val="24"/>
        </w:rPr>
        <w:t>кат.- коэффициент,  учитывающий  дифференциацию  стоимости  работ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748">
        <w:rPr>
          <w:rFonts w:ascii="Times New Roman" w:hAnsi="Times New Roman" w:cs="Times New Roman"/>
          <w:sz w:val="24"/>
          <w:szCs w:val="24"/>
        </w:rPr>
        <w:t xml:space="preserve">содержанию  и  ремонту автомобильных дорог общего 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B91748">
        <w:rPr>
          <w:rFonts w:ascii="Times New Roman" w:hAnsi="Times New Roman" w:cs="Times New Roman"/>
          <w:sz w:val="24"/>
          <w:szCs w:val="24"/>
        </w:rPr>
        <w:t xml:space="preserve">  значения по соответствующим категориям, определяемый согласно таблице 1.</w:t>
      </w:r>
    </w:p>
    <w:p w:rsidR="00445286" w:rsidRPr="00B91748" w:rsidRDefault="00445286" w:rsidP="00445286">
      <w:pPr>
        <w:autoSpaceDE w:val="0"/>
        <w:autoSpaceDN w:val="0"/>
        <w:adjustRightInd w:val="0"/>
        <w:ind w:firstLine="540"/>
        <w:jc w:val="both"/>
      </w:pPr>
    </w:p>
    <w:p w:rsidR="00445286" w:rsidRPr="00B91748" w:rsidRDefault="00445286" w:rsidP="00445286">
      <w:pPr>
        <w:autoSpaceDE w:val="0"/>
        <w:autoSpaceDN w:val="0"/>
        <w:adjustRightInd w:val="0"/>
        <w:jc w:val="right"/>
        <w:outlineLvl w:val="0"/>
      </w:pPr>
      <w:r w:rsidRPr="00B91748">
        <w:t>Таблица 1</w:t>
      </w:r>
    </w:p>
    <w:p w:rsidR="00445286" w:rsidRPr="00B91748" w:rsidRDefault="00445286" w:rsidP="00445286">
      <w:pPr>
        <w:autoSpaceDE w:val="0"/>
        <w:autoSpaceDN w:val="0"/>
        <w:adjustRightInd w:val="0"/>
        <w:ind w:firstLine="540"/>
        <w:jc w:val="both"/>
      </w:pPr>
    </w:p>
    <w:p w:rsidR="00445286" w:rsidRPr="00B91748" w:rsidRDefault="00445286" w:rsidP="00445286">
      <w:pPr>
        <w:autoSpaceDE w:val="0"/>
        <w:autoSpaceDN w:val="0"/>
        <w:adjustRightInd w:val="0"/>
        <w:jc w:val="center"/>
      </w:pPr>
      <w:r w:rsidRPr="00B91748">
        <w:t>Коэффициенты, учитывающие дифференциацию стоимости работ по</w:t>
      </w:r>
    </w:p>
    <w:p w:rsidR="00445286" w:rsidRPr="00B91748" w:rsidRDefault="00445286" w:rsidP="00445286">
      <w:pPr>
        <w:autoSpaceDE w:val="0"/>
        <w:autoSpaceDN w:val="0"/>
        <w:adjustRightInd w:val="0"/>
        <w:jc w:val="center"/>
      </w:pPr>
      <w:r w:rsidRPr="00B91748">
        <w:t>содержанию и ремонту автомобильных дорог общего пользования</w:t>
      </w:r>
    </w:p>
    <w:p w:rsidR="00445286" w:rsidRPr="00B91748" w:rsidRDefault="00445286" w:rsidP="00445286">
      <w:pPr>
        <w:autoSpaceDE w:val="0"/>
        <w:autoSpaceDN w:val="0"/>
        <w:adjustRightInd w:val="0"/>
        <w:jc w:val="center"/>
      </w:pPr>
      <w:r>
        <w:t xml:space="preserve">местного </w:t>
      </w:r>
      <w:r w:rsidRPr="00B91748">
        <w:t xml:space="preserve">  значения по категориям</w:t>
      </w:r>
    </w:p>
    <w:p w:rsidR="00445286" w:rsidRPr="00B91748" w:rsidRDefault="00445286" w:rsidP="00445286">
      <w:pPr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1540"/>
        <w:gridCol w:w="1540"/>
        <w:gridCol w:w="1400"/>
      </w:tblGrid>
      <w:tr w:rsidR="00445286" w:rsidRPr="00B91748" w:rsidTr="00BF6A5D"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86" w:rsidRPr="00B91748" w:rsidRDefault="00445286" w:rsidP="00BF6A5D">
            <w:pPr>
              <w:pStyle w:val="ConsPlusCell"/>
              <w:jc w:val="both"/>
            </w:pPr>
            <w:r w:rsidRPr="00B91748">
              <w:t>Виды работ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86" w:rsidRPr="00B91748" w:rsidRDefault="00445286" w:rsidP="00BF6A5D">
            <w:pPr>
              <w:pStyle w:val="ConsPlusCell"/>
              <w:jc w:val="both"/>
            </w:pPr>
            <w:r w:rsidRPr="00B91748">
              <w:t xml:space="preserve">  Категория автомобильных   </w:t>
            </w:r>
            <w:r w:rsidRPr="00B91748">
              <w:br/>
              <w:t>дорог регионального значения</w:t>
            </w:r>
          </w:p>
        </w:tc>
      </w:tr>
      <w:tr w:rsidR="00445286" w:rsidRPr="00B91748" w:rsidTr="00BF6A5D">
        <w:trPr>
          <w:tblCellSpacing w:w="5" w:type="nil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86" w:rsidRPr="00B91748" w:rsidRDefault="00445286" w:rsidP="00BF6A5D">
            <w:pPr>
              <w:pStyle w:val="ConsPlusCell"/>
              <w:jc w:val="both"/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86" w:rsidRPr="00B91748" w:rsidRDefault="00445286" w:rsidP="00BF6A5D">
            <w:pPr>
              <w:pStyle w:val="ConsPlusCell"/>
              <w:jc w:val="both"/>
            </w:pPr>
            <w:r w:rsidRPr="00B91748">
              <w:t xml:space="preserve">   III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86" w:rsidRPr="00B91748" w:rsidRDefault="00445286" w:rsidP="00BF6A5D">
            <w:pPr>
              <w:pStyle w:val="ConsPlusCell"/>
              <w:jc w:val="both"/>
            </w:pPr>
            <w:r w:rsidRPr="00B91748">
              <w:t xml:space="preserve">   IV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86" w:rsidRPr="00B91748" w:rsidRDefault="00445286" w:rsidP="00BF6A5D">
            <w:pPr>
              <w:pStyle w:val="ConsPlusCell"/>
              <w:jc w:val="both"/>
            </w:pPr>
            <w:r w:rsidRPr="00B91748">
              <w:t xml:space="preserve">   V    </w:t>
            </w:r>
          </w:p>
        </w:tc>
      </w:tr>
      <w:tr w:rsidR="00445286" w:rsidRPr="00B91748" w:rsidTr="00BF6A5D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86" w:rsidRPr="00B91748" w:rsidRDefault="00445286" w:rsidP="00BF6A5D">
            <w:pPr>
              <w:pStyle w:val="ConsPlusCell"/>
              <w:jc w:val="both"/>
            </w:pPr>
            <w:r w:rsidRPr="00B91748">
              <w:t>Содержание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86" w:rsidRPr="00B91748" w:rsidRDefault="00445286" w:rsidP="00BF6A5D">
            <w:pPr>
              <w:pStyle w:val="ConsPlusCell"/>
              <w:jc w:val="both"/>
            </w:pPr>
            <w:r w:rsidRPr="00B91748">
              <w:t xml:space="preserve">     1,14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86" w:rsidRPr="00B91748" w:rsidRDefault="00445286" w:rsidP="00BF6A5D">
            <w:pPr>
              <w:pStyle w:val="ConsPlusCell"/>
              <w:jc w:val="both"/>
            </w:pPr>
            <w:r w:rsidRPr="00B91748">
              <w:t xml:space="preserve">     1,05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86" w:rsidRPr="00B91748" w:rsidRDefault="00445286" w:rsidP="00BF6A5D">
            <w:pPr>
              <w:pStyle w:val="ConsPlusCell"/>
              <w:jc w:val="both"/>
            </w:pPr>
            <w:r w:rsidRPr="00B91748">
              <w:t xml:space="preserve">       1</w:t>
            </w:r>
          </w:p>
        </w:tc>
      </w:tr>
      <w:tr w:rsidR="00445286" w:rsidRPr="00B91748" w:rsidTr="00BF6A5D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86" w:rsidRPr="00B91748" w:rsidRDefault="00445286" w:rsidP="00BF6A5D">
            <w:pPr>
              <w:pStyle w:val="ConsPlusCell"/>
              <w:jc w:val="both"/>
            </w:pPr>
            <w:r w:rsidRPr="00B91748">
              <w:t xml:space="preserve">Ремонт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86" w:rsidRPr="00B91748" w:rsidRDefault="00445286" w:rsidP="00BF6A5D">
            <w:pPr>
              <w:pStyle w:val="ConsPlusCell"/>
              <w:jc w:val="both"/>
            </w:pPr>
            <w:r w:rsidRPr="00B91748">
              <w:t xml:space="preserve">     1,46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86" w:rsidRPr="00B91748" w:rsidRDefault="00445286" w:rsidP="00BF6A5D">
            <w:pPr>
              <w:pStyle w:val="ConsPlusCell"/>
              <w:jc w:val="both"/>
            </w:pPr>
            <w:r w:rsidRPr="00B91748">
              <w:t xml:space="preserve">     1,37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86" w:rsidRPr="00B91748" w:rsidRDefault="00445286" w:rsidP="00BF6A5D">
            <w:pPr>
              <w:pStyle w:val="ConsPlusCell"/>
              <w:jc w:val="both"/>
            </w:pPr>
            <w:r w:rsidRPr="00B91748">
              <w:t xml:space="preserve">       1</w:t>
            </w:r>
          </w:p>
        </w:tc>
      </w:tr>
    </w:tbl>
    <w:p w:rsidR="00445286" w:rsidRPr="00B91748" w:rsidRDefault="00445286" w:rsidP="00445286">
      <w:pPr>
        <w:autoSpaceDE w:val="0"/>
        <w:autoSpaceDN w:val="0"/>
        <w:adjustRightInd w:val="0"/>
        <w:ind w:firstLine="540"/>
        <w:jc w:val="both"/>
      </w:pPr>
    </w:p>
    <w:p w:rsidR="00445286" w:rsidRPr="00B91748" w:rsidRDefault="00445286" w:rsidP="00445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748">
        <w:rPr>
          <w:rFonts w:ascii="Times New Roman" w:hAnsi="Times New Roman" w:cs="Times New Roman"/>
          <w:sz w:val="24"/>
          <w:szCs w:val="24"/>
        </w:rPr>
        <w:lastRenderedPageBreak/>
        <w:t xml:space="preserve">    3. Определение  размера  ассигнований  из 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B91748">
        <w:rPr>
          <w:rFonts w:ascii="Times New Roman" w:hAnsi="Times New Roman" w:cs="Times New Roman"/>
          <w:sz w:val="24"/>
          <w:szCs w:val="24"/>
        </w:rPr>
        <w:t xml:space="preserve">  бюджета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748">
        <w:rPr>
          <w:rFonts w:ascii="Times New Roman" w:hAnsi="Times New Roman" w:cs="Times New Roman"/>
          <w:sz w:val="24"/>
          <w:szCs w:val="24"/>
        </w:rPr>
        <w:t xml:space="preserve">ремонт   автомобильных  дорог  общего  пользования 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B91748">
        <w:rPr>
          <w:rFonts w:ascii="Times New Roman" w:hAnsi="Times New Roman" w:cs="Times New Roman"/>
          <w:sz w:val="24"/>
          <w:szCs w:val="24"/>
        </w:rPr>
        <w:t xml:space="preserve">   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748">
        <w:rPr>
          <w:rFonts w:ascii="Times New Roman" w:hAnsi="Times New Roman" w:cs="Times New Roman"/>
          <w:sz w:val="24"/>
          <w:szCs w:val="24"/>
        </w:rPr>
        <w:t>осуществляется по формуле:</w:t>
      </w:r>
    </w:p>
    <w:p w:rsidR="00445286" w:rsidRPr="00B91748" w:rsidRDefault="00445286" w:rsidP="00445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5286" w:rsidRPr="00B91748" w:rsidRDefault="00445286" w:rsidP="00445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748">
        <w:rPr>
          <w:rFonts w:ascii="Times New Roman" w:hAnsi="Times New Roman" w:cs="Times New Roman"/>
          <w:sz w:val="24"/>
          <w:szCs w:val="24"/>
        </w:rPr>
        <w:t xml:space="preserve">    А     = Н          x К      x L    , где:</w:t>
      </w:r>
    </w:p>
    <w:p w:rsidR="00445286" w:rsidRPr="00B91748" w:rsidRDefault="00445286" w:rsidP="00445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748">
        <w:rPr>
          <w:rFonts w:ascii="Times New Roman" w:hAnsi="Times New Roman" w:cs="Times New Roman"/>
          <w:sz w:val="24"/>
          <w:szCs w:val="24"/>
        </w:rPr>
        <w:t xml:space="preserve">     рем.    прив.рем.    терр.    рем.</w:t>
      </w:r>
    </w:p>
    <w:p w:rsidR="00445286" w:rsidRPr="00B91748" w:rsidRDefault="00445286" w:rsidP="00445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5286" w:rsidRPr="00B91748" w:rsidRDefault="00445286" w:rsidP="00445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748">
        <w:rPr>
          <w:rFonts w:ascii="Times New Roman" w:hAnsi="Times New Roman" w:cs="Times New Roman"/>
          <w:sz w:val="24"/>
          <w:szCs w:val="24"/>
        </w:rPr>
        <w:t xml:space="preserve">    А     - размер  ассигнований  из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B91748">
        <w:rPr>
          <w:rFonts w:ascii="Times New Roman" w:hAnsi="Times New Roman" w:cs="Times New Roman"/>
          <w:sz w:val="24"/>
          <w:szCs w:val="24"/>
        </w:rPr>
        <w:t xml:space="preserve"> бюджета на 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748">
        <w:rPr>
          <w:rFonts w:ascii="Times New Roman" w:hAnsi="Times New Roman" w:cs="Times New Roman"/>
          <w:sz w:val="24"/>
          <w:szCs w:val="24"/>
        </w:rPr>
        <w:t xml:space="preserve">работ  по  ремонту  автомобильных  дорог  общего  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B91748">
        <w:rPr>
          <w:rFonts w:ascii="Times New Roman" w:hAnsi="Times New Roman" w:cs="Times New Roman"/>
          <w:sz w:val="24"/>
          <w:szCs w:val="24"/>
        </w:rPr>
        <w:t>значения каждой категории, тыс. рублей;</w:t>
      </w:r>
    </w:p>
    <w:p w:rsidR="00445286" w:rsidRDefault="00445286" w:rsidP="00445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74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5286" w:rsidRPr="00B91748" w:rsidRDefault="00445286" w:rsidP="00445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74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прив.рем.</w:t>
      </w:r>
      <w:r w:rsidRPr="00B91748">
        <w:rPr>
          <w:rFonts w:ascii="Times New Roman" w:hAnsi="Times New Roman" w:cs="Times New Roman"/>
          <w:sz w:val="24"/>
          <w:szCs w:val="24"/>
        </w:rPr>
        <w:t xml:space="preserve">          - приведенный  норматив денежных затрат на работы по ремонту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748">
        <w:rPr>
          <w:rFonts w:ascii="Times New Roman" w:hAnsi="Times New Roman" w:cs="Times New Roman"/>
          <w:sz w:val="24"/>
          <w:szCs w:val="24"/>
        </w:rPr>
        <w:t xml:space="preserve">автомобильных   дорог  общего  пользования 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B91748">
        <w:rPr>
          <w:rFonts w:ascii="Times New Roman" w:hAnsi="Times New Roman" w:cs="Times New Roman"/>
          <w:sz w:val="24"/>
          <w:szCs w:val="24"/>
        </w:rPr>
        <w:t xml:space="preserve">    значения  каждой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748">
        <w:rPr>
          <w:rFonts w:ascii="Times New Roman" w:hAnsi="Times New Roman" w:cs="Times New Roman"/>
          <w:sz w:val="24"/>
          <w:szCs w:val="24"/>
        </w:rPr>
        <w:t>категории, тыс. рублей/км;</w:t>
      </w:r>
    </w:p>
    <w:p w:rsidR="00445286" w:rsidRDefault="00445286" w:rsidP="00445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74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4091E" w:rsidRDefault="00445286" w:rsidP="00445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748">
        <w:rPr>
          <w:rFonts w:ascii="Times New Roman" w:hAnsi="Times New Roman" w:cs="Times New Roman"/>
          <w:sz w:val="24"/>
          <w:szCs w:val="24"/>
        </w:rPr>
        <w:t>К терр.     - территориальный    коэффициент,   учитывающий   дифференциацию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748">
        <w:rPr>
          <w:rFonts w:ascii="Times New Roman" w:hAnsi="Times New Roman" w:cs="Times New Roman"/>
          <w:sz w:val="24"/>
          <w:szCs w:val="24"/>
        </w:rPr>
        <w:t>стоимости   выполнения   ремонта  автомобильных  дорог  общего 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Pr="00B91748">
        <w:rPr>
          <w:rFonts w:ascii="Times New Roman" w:hAnsi="Times New Roman" w:cs="Times New Roman"/>
          <w:sz w:val="24"/>
          <w:szCs w:val="24"/>
        </w:rPr>
        <w:t xml:space="preserve">  значения, определяемый согласно </w:t>
      </w:r>
    </w:p>
    <w:p w:rsidR="00445286" w:rsidRPr="00B91748" w:rsidRDefault="003F5F71" w:rsidP="00445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ar152" w:history="1">
        <w:r w:rsidR="00445286" w:rsidRPr="00B91748">
          <w:rPr>
            <w:rFonts w:ascii="Times New Roman" w:hAnsi="Times New Roman" w:cs="Times New Roman"/>
            <w:color w:val="0000FF"/>
            <w:sz w:val="24"/>
            <w:szCs w:val="24"/>
          </w:rPr>
          <w:t>таблице 2</w:t>
        </w:r>
      </w:hyperlink>
      <w:r w:rsidR="00445286" w:rsidRPr="00B91748">
        <w:rPr>
          <w:rFonts w:ascii="Times New Roman" w:hAnsi="Times New Roman" w:cs="Times New Roman"/>
          <w:sz w:val="24"/>
          <w:szCs w:val="24"/>
        </w:rPr>
        <w:t>;</w:t>
      </w:r>
    </w:p>
    <w:p w:rsidR="00445286" w:rsidRDefault="00445286" w:rsidP="00445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74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5286" w:rsidRPr="00B91748" w:rsidRDefault="00445286" w:rsidP="00445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74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    рем.</w:t>
      </w:r>
      <w:r w:rsidRPr="00B91748">
        <w:rPr>
          <w:rFonts w:ascii="Times New Roman" w:hAnsi="Times New Roman" w:cs="Times New Roman"/>
          <w:sz w:val="24"/>
          <w:szCs w:val="24"/>
        </w:rPr>
        <w:t xml:space="preserve">    - расчетная  протяженность автомобильных дорог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Pr="00B91748">
        <w:rPr>
          <w:rFonts w:ascii="Times New Roman" w:hAnsi="Times New Roman" w:cs="Times New Roman"/>
          <w:sz w:val="24"/>
          <w:szCs w:val="24"/>
        </w:rPr>
        <w:t xml:space="preserve">     значения   каждой  категории,  подлежащих  ремонту  на 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748">
        <w:rPr>
          <w:rFonts w:ascii="Times New Roman" w:hAnsi="Times New Roman" w:cs="Times New Roman"/>
          <w:sz w:val="24"/>
          <w:szCs w:val="24"/>
        </w:rPr>
        <w:t>планирования, км.</w:t>
      </w:r>
    </w:p>
    <w:p w:rsidR="00445286" w:rsidRPr="00B91748" w:rsidRDefault="00445286" w:rsidP="00445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748">
        <w:rPr>
          <w:rFonts w:ascii="Times New Roman" w:hAnsi="Times New Roman" w:cs="Times New Roman"/>
          <w:sz w:val="24"/>
          <w:szCs w:val="24"/>
        </w:rPr>
        <w:t xml:space="preserve">    Общая  потребность  в  ассигнованиях  из 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B91748">
        <w:rPr>
          <w:rFonts w:ascii="Times New Roman" w:hAnsi="Times New Roman" w:cs="Times New Roman"/>
          <w:sz w:val="24"/>
          <w:szCs w:val="24"/>
        </w:rPr>
        <w:t xml:space="preserve">  бюджета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748">
        <w:rPr>
          <w:rFonts w:ascii="Times New Roman" w:hAnsi="Times New Roman" w:cs="Times New Roman"/>
          <w:sz w:val="24"/>
          <w:szCs w:val="24"/>
        </w:rPr>
        <w:t>выполнение  работ  по  ремонту дорог определяется как сумма ассигнований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748">
        <w:rPr>
          <w:rFonts w:ascii="Times New Roman" w:hAnsi="Times New Roman" w:cs="Times New Roman"/>
          <w:sz w:val="24"/>
          <w:szCs w:val="24"/>
        </w:rPr>
        <w:t xml:space="preserve">выполнение  работ по всем категориям дорог общего 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B91748">
        <w:rPr>
          <w:rFonts w:ascii="Times New Roman" w:hAnsi="Times New Roman" w:cs="Times New Roman"/>
          <w:sz w:val="24"/>
          <w:szCs w:val="24"/>
        </w:rPr>
        <w:t xml:space="preserve">  значения, расположенных на территории Республики Бурятия.</w:t>
      </w:r>
    </w:p>
    <w:p w:rsidR="00445286" w:rsidRPr="00B91748" w:rsidRDefault="00445286" w:rsidP="00445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748">
        <w:rPr>
          <w:rFonts w:ascii="Times New Roman" w:hAnsi="Times New Roman" w:cs="Times New Roman"/>
          <w:sz w:val="24"/>
          <w:szCs w:val="24"/>
        </w:rPr>
        <w:t xml:space="preserve">    4. Расчет   размера   ассигнований   из  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B91748">
        <w:rPr>
          <w:rFonts w:ascii="Times New Roman" w:hAnsi="Times New Roman" w:cs="Times New Roman"/>
          <w:sz w:val="24"/>
          <w:szCs w:val="24"/>
        </w:rPr>
        <w:t xml:space="preserve">  бюджета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748">
        <w:rPr>
          <w:rFonts w:ascii="Times New Roman" w:hAnsi="Times New Roman" w:cs="Times New Roman"/>
          <w:sz w:val="24"/>
          <w:szCs w:val="24"/>
        </w:rPr>
        <w:t xml:space="preserve">содержание  автомобильных  дорог  общего 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B91748">
        <w:rPr>
          <w:rFonts w:ascii="Times New Roman" w:hAnsi="Times New Roman" w:cs="Times New Roman"/>
          <w:sz w:val="24"/>
          <w:szCs w:val="24"/>
        </w:rPr>
        <w:t xml:space="preserve"> 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748">
        <w:rPr>
          <w:rFonts w:ascii="Times New Roman" w:hAnsi="Times New Roman" w:cs="Times New Roman"/>
          <w:sz w:val="24"/>
          <w:szCs w:val="24"/>
        </w:rPr>
        <w:t>осуществляется по формуле:</w:t>
      </w:r>
    </w:p>
    <w:p w:rsidR="00445286" w:rsidRPr="00B91748" w:rsidRDefault="00445286" w:rsidP="00445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5286" w:rsidRPr="00B91748" w:rsidRDefault="00445286" w:rsidP="00445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748">
        <w:rPr>
          <w:rFonts w:ascii="Times New Roman" w:hAnsi="Times New Roman" w:cs="Times New Roman"/>
          <w:sz w:val="24"/>
          <w:szCs w:val="24"/>
        </w:rPr>
        <w:t xml:space="preserve">    А     = Н          x К          x L, где:</w:t>
      </w:r>
    </w:p>
    <w:p w:rsidR="00445286" w:rsidRPr="00B91748" w:rsidRDefault="00445286" w:rsidP="00445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748">
        <w:rPr>
          <w:rFonts w:ascii="Times New Roman" w:hAnsi="Times New Roman" w:cs="Times New Roman"/>
          <w:sz w:val="24"/>
          <w:szCs w:val="24"/>
        </w:rPr>
        <w:t xml:space="preserve">     сод.    прив.сод.    терр.сод.</w:t>
      </w:r>
    </w:p>
    <w:p w:rsidR="00445286" w:rsidRPr="00B91748" w:rsidRDefault="00445286" w:rsidP="00445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5286" w:rsidRPr="00B91748" w:rsidRDefault="00445286" w:rsidP="00445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748">
        <w:rPr>
          <w:rFonts w:ascii="Times New Roman" w:hAnsi="Times New Roman" w:cs="Times New Roman"/>
          <w:sz w:val="24"/>
          <w:szCs w:val="24"/>
        </w:rPr>
        <w:t xml:space="preserve">    А  сод.   - размер  ассигнований  из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B91748">
        <w:rPr>
          <w:rFonts w:ascii="Times New Roman" w:hAnsi="Times New Roman" w:cs="Times New Roman"/>
          <w:sz w:val="24"/>
          <w:szCs w:val="24"/>
        </w:rPr>
        <w:t xml:space="preserve"> бюджета на 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748">
        <w:rPr>
          <w:rFonts w:ascii="Times New Roman" w:hAnsi="Times New Roman" w:cs="Times New Roman"/>
          <w:sz w:val="24"/>
          <w:szCs w:val="24"/>
        </w:rPr>
        <w:t xml:space="preserve">работ  по  содержанию  автомобильных дорог общего 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B91748">
        <w:rPr>
          <w:rFonts w:ascii="Times New Roman" w:hAnsi="Times New Roman" w:cs="Times New Roman"/>
          <w:sz w:val="24"/>
          <w:szCs w:val="24"/>
        </w:rPr>
        <w:t xml:space="preserve">  значения каждой категории, тыс. рублей;</w:t>
      </w:r>
    </w:p>
    <w:p w:rsidR="00445286" w:rsidRDefault="00445286" w:rsidP="00445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74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5286" w:rsidRPr="00B91748" w:rsidRDefault="00445286" w:rsidP="00445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748">
        <w:rPr>
          <w:rFonts w:ascii="Times New Roman" w:hAnsi="Times New Roman" w:cs="Times New Roman"/>
          <w:sz w:val="24"/>
          <w:szCs w:val="24"/>
        </w:rPr>
        <w:t>Н прив.сод         - приведенный   норматив   денежных   затрат  на  работы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748">
        <w:rPr>
          <w:rFonts w:ascii="Times New Roman" w:hAnsi="Times New Roman" w:cs="Times New Roman"/>
          <w:sz w:val="24"/>
          <w:szCs w:val="24"/>
        </w:rPr>
        <w:t xml:space="preserve">содержанию  автомобильных  дорог  общего 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B91748">
        <w:rPr>
          <w:rFonts w:ascii="Times New Roman" w:hAnsi="Times New Roman" w:cs="Times New Roman"/>
          <w:sz w:val="24"/>
          <w:szCs w:val="24"/>
        </w:rPr>
        <w:t xml:space="preserve"> 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748">
        <w:rPr>
          <w:rFonts w:ascii="Times New Roman" w:hAnsi="Times New Roman" w:cs="Times New Roman"/>
          <w:sz w:val="24"/>
          <w:szCs w:val="24"/>
        </w:rPr>
        <w:t>каждой категории, тыс. рублей/км;</w:t>
      </w:r>
    </w:p>
    <w:p w:rsidR="00445286" w:rsidRPr="00B91748" w:rsidRDefault="00445286" w:rsidP="00445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748">
        <w:rPr>
          <w:rFonts w:ascii="Times New Roman" w:hAnsi="Times New Roman" w:cs="Times New Roman"/>
          <w:sz w:val="24"/>
          <w:szCs w:val="24"/>
        </w:rPr>
        <w:t xml:space="preserve">    К терр.     - территориальный    коэффициент,   учитывающий   дифференциацию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748">
        <w:rPr>
          <w:rFonts w:ascii="Times New Roman" w:hAnsi="Times New Roman" w:cs="Times New Roman"/>
          <w:sz w:val="24"/>
          <w:szCs w:val="24"/>
        </w:rPr>
        <w:t>стоимости   выполнения  работ  по  содержанию  автомобильных  дорог 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748">
        <w:rPr>
          <w:rFonts w:ascii="Times New Roman" w:hAnsi="Times New Roman" w:cs="Times New Roman"/>
          <w:sz w:val="24"/>
          <w:szCs w:val="24"/>
        </w:rPr>
        <w:t xml:space="preserve">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B91748">
        <w:rPr>
          <w:rFonts w:ascii="Times New Roman" w:hAnsi="Times New Roman" w:cs="Times New Roman"/>
          <w:sz w:val="24"/>
          <w:szCs w:val="24"/>
        </w:rPr>
        <w:t xml:space="preserve">  значения, определяемый согласно </w:t>
      </w:r>
      <w:hyperlink w:anchor="Par152" w:history="1">
        <w:r w:rsidRPr="00B91748">
          <w:rPr>
            <w:rFonts w:ascii="Times New Roman" w:hAnsi="Times New Roman" w:cs="Times New Roman"/>
            <w:color w:val="0000FF"/>
            <w:sz w:val="24"/>
            <w:szCs w:val="24"/>
          </w:rPr>
          <w:t>таблице 2</w:t>
        </w:r>
      </w:hyperlink>
      <w:r w:rsidRPr="00B91748">
        <w:rPr>
          <w:rFonts w:ascii="Times New Roman" w:hAnsi="Times New Roman" w:cs="Times New Roman"/>
          <w:sz w:val="24"/>
          <w:szCs w:val="24"/>
        </w:rPr>
        <w:t>;</w:t>
      </w:r>
    </w:p>
    <w:p w:rsidR="00445286" w:rsidRDefault="00445286" w:rsidP="00445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74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5286" w:rsidRPr="00B91748" w:rsidRDefault="00445286" w:rsidP="00445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748">
        <w:rPr>
          <w:rFonts w:ascii="Times New Roman" w:hAnsi="Times New Roman" w:cs="Times New Roman"/>
          <w:sz w:val="24"/>
          <w:szCs w:val="24"/>
        </w:rPr>
        <w:t xml:space="preserve">L - протяженность  автомобильных дорог общего 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B91748">
        <w:rPr>
          <w:rFonts w:ascii="Times New Roman" w:hAnsi="Times New Roman" w:cs="Times New Roman"/>
          <w:sz w:val="24"/>
          <w:szCs w:val="24"/>
        </w:rPr>
        <w:t>значения  каждой  категории  на 1 января года, предшествующего планируемом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748">
        <w:rPr>
          <w:rFonts w:ascii="Times New Roman" w:hAnsi="Times New Roman" w:cs="Times New Roman"/>
          <w:sz w:val="24"/>
          <w:szCs w:val="24"/>
        </w:rPr>
        <w:t>периоду,   с   учетом   ввода   объектов   строительства  и  реконструкции,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748">
        <w:rPr>
          <w:rFonts w:ascii="Times New Roman" w:hAnsi="Times New Roman" w:cs="Times New Roman"/>
          <w:sz w:val="24"/>
          <w:szCs w:val="24"/>
        </w:rPr>
        <w:t>предусмотренного в течение года, предшествующего планируемому, км.</w:t>
      </w:r>
    </w:p>
    <w:p w:rsidR="00445286" w:rsidRPr="00B91748" w:rsidRDefault="00445286" w:rsidP="00445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748">
        <w:rPr>
          <w:rFonts w:ascii="Times New Roman" w:hAnsi="Times New Roman" w:cs="Times New Roman"/>
          <w:sz w:val="24"/>
          <w:szCs w:val="24"/>
        </w:rPr>
        <w:t xml:space="preserve">    Общая  потребность  в  ассигнованиях  из 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B91748">
        <w:rPr>
          <w:rFonts w:ascii="Times New Roman" w:hAnsi="Times New Roman" w:cs="Times New Roman"/>
          <w:sz w:val="24"/>
          <w:szCs w:val="24"/>
        </w:rPr>
        <w:t xml:space="preserve">  бюджета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748">
        <w:rPr>
          <w:rFonts w:ascii="Times New Roman" w:hAnsi="Times New Roman" w:cs="Times New Roman"/>
          <w:sz w:val="24"/>
          <w:szCs w:val="24"/>
        </w:rPr>
        <w:t>выполнение  работ  по  содержанию  автомобильных  дорог 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Pr="00B91748">
        <w:rPr>
          <w:rFonts w:ascii="Times New Roman" w:hAnsi="Times New Roman" w:cs="Times New Roman"/>
          <w:sz w:val="24"/>
          <w:szCs w:val="24"/>
        </w:rPr>
        <w:t xml:space="preserve">      значения    определяется   как   сумма   ассигнований   из</w:t>
      </w:r>
      <w:r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B91748">
        <w:rPr>
          <w:rFonts w:ascii="Times New Roman" w:hAnsi="Times New Roman" w:cs="Times New Roman"/>
          <w:sz w:val="24"/>
          <w:szCs w:val="24"/>
        </w:rPr>
        <w:t xml:space="preserve">  бюджета  на  выполнение работ по содержанию автомобильных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748">
        <w:rPr>
          <w:rFonts w:ascii="Times New Roman" w:hAnsi="Times New Roman" w:cs="Times New Roman"/>
          <w:sz w:val="24"/>
          <w:szCs w:val="24"/>
        </w:rPr>
        <w:t xml:space="preserve">дорог  по  всем категориям дорог общего 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B91748">
        <w:rPr>
          <w:rFonts w:ascii="Times New Roman" w:hAnsi="Times New Roman" w:cs="Times New Roman"/>
          <w:sz w:val="24"/>
          <w:szCs w:val="24"/>
        </w:rPr>
        <w:t xml:space="preserve">  значения,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748">
        <w:rPr>
          <w:rFonts w:ascii="Times New Roman" w:hAnsi="Times New Roman" w:cs="Times New Roman"/>
          <w:sz w:val="24"/>
          <w:szCs w:val="24"/>
        </w:rPr>
        <w:t>расположенных на территории Республики Бурятия.</w:t>
      </w:r>
    </w:p>
    <w:p w:rsidR="00445286" w:rsidRPr="00B91748" w:rsidRDefault="00445286" w:rsidP="00445286">
      <w:pPr>
        <w:autoSpaceDE w:val="0"/>
        <w:autoSpaceDN w:val="0"/>
        <w:adjustRightInd w:val="0"/>
        <w:ind w:firstLine="540"/>
        <w:jc w:val="both"/>
      </w:pPr>
    </w:p>
    <w:p w:rsidR="00445286" w:rsidRDefault="00445286" w:rsidP="00445286">
      <w:pPr>
        <w:autoSpaceDE w:val="0"/>
        <w:autoSpaceDN w:val="0"/>
        <w:adjustRightInd w:val="0"/>
        <w:jc w:val="right"/>
        <w:outlineLvl w:val="0"/>
      </w:pPr>
    </w:p>
    <w:p w:rsidR="00445286" w:rsidRDefault="00445286" w:rsidP="00445286">
      <w:pPr>
        <w:autoSpaceDE w:val="0"/>
        <w:autoSpaceDN w:val="0"/>
        <w:adjustRightInd w:val="0"/>
        <w:jc w:val="right"/>
        <w:outlineLvl w:val="0"/>
      </w:pPr>
    </w:p>
    <w:p w:rsidR="00445286" w:rsidRDefault="00445286" w:rsidP="00445286">
      <w:pPr>
        <w:autoSpaceDE w:val="0"/>
        <w:autoSpaceDN w:val="0"/>
        <w:adjustRightInd w:val="0"/>
        <w:jc w:val="right"/>
        <w:outlineLvl w:val="0"/>
      </w:pPr>
    </w:p>
    <w:p w:rsidR="00445286" w:rsidRDefault="00445286" w:rsidP="00445286">
      <w:pPr>
        <w:autoSpaceDE w:val="0"/>
        <w:autoSpaceDN w:val="0"/>
        <w:adjustRightInd w:val="0"/>
        <w:jc w:val="right"/>
        <w:outlineLvl w:val="0"/>
      </w:pPr>
    </w:p>
    <w:p w:rsidR="00445286" w:rsidRPr="002E2660" w:rsidRDefault="00445286" w:rsidP="00445286">
      <w:pPr>
        <w:autoSpaceDE w:val="0"/>
        <w:autoSpaceDN w:val="0"/>
        <w:adjustRightInd w:val="0"/>
        <w:jc w:val="right"/>
        <w:outlineLvl w:val="0"/>
      </w:pPr>
      <w:r w:rsidRPr="002E2660">
        <w:t>Таблица 2</w:t>
      </w:r>
    </w:p>
    <w:p w:rsidR="00445286" w:rsidRPr="00B91748" w:rsidRDefault="00445286" w:rsidP="00445286">
      <w:pPr>
        <w:autoSpaceDE w:val="0"/>
        <w:autoSpaceDN w:val="0"/>
        <w:adjustRightInd w:val="0"/>
        <w:ind w:firstLine="540"/>
        <w:jc w:val="both"/>
      </w:pPr>
    </w:p>
    <w:p w:rsidR="00445286" w:rsidRPr="002E2660" w:rsidRDefault="00445286" w:rsidP="00445286">
      <w:pPr>
        <w:autoSpaceDE w:val="0"/>
        <w:autoSpaceDN w:val="0"/>
        <w:adjustRightInd w:val="0"/>
        <w:jc w:val="center"/>
        <w:rPr>
          <w:b/>
        </w:rPr>
      </w:pPr>
      <w:r w:rsidRPr="002E2660">
        <w:rPr>
          <w:b/>
        </w:rPr>
        <w:t>Территориальные коэффициенты, учитывающие дифференциацию</w:t>
      </w:r>
    </w:p>
    <w:p w:rsidR="00445286" w:rsidRPr="002E2660" w:rsidRDefault="00445286" w:rsidP="00445286">
      <w:pPr>
        <w:autoSpaceDE w:val="0"/>
        <w:autoSpaceDN w:val="0"/>
        <w:adjustRightInd w:val="0"/>
        <w:jc w:val="center"/>
        <w:rPr>
          <w:b/>
        </w:rPr>
      </w:pPr>
      <w:r w:rsidRPr="002E2660">
        <w:rPr>
          <w:b/>
        </w:rPr>
        <w:t>стоимости работ по содержанию, ремонту автомобильных дорог</w:t>
      </w:r>
    </w:p>
    <w:p w:rsidR="00445286" w:rsidRPr="002E2660" w:rsidRDefault="00445286" w:rsidP="00445286">
      <w:pPr>
        <w:autoSpaceDE w:val="0"/>
        <w:autoSpaceDN w:val="0"/>
        <w:adjustRightInd w:val="0"/>
        <w:jc w:val="center"/>
        <w:rPr>
          <w:b/>
        </w:rPr>
      </w:pPr>
      <w:r w:rsidRPr="002E2660">
        <w:rPr>
          <w:b/>
        </w:rPr>
        <w:t>общего пользования местного   значения</w:t>
      </w:r>
    </w:p>
    <w:p w:rsidR="00445286" w:rsidRPr="00B91748" w:rsidRDefault="00445286" w:rsidP="00445286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60"/>
        <w:gridCol w:w="1120"/>
        <w:gridCol w:w="1680"/>
      </w:tblGrid>
      <w:tr w:rsidR="00445286" w:rsidRPr="00B91748" w:rsidTr="00BF6A5D">
        <w:trPr>
          <w:trHeight w:val="400"/>
          <w:tblCellSpacing w:w="5" w:type="nil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86" w:rsidRPr="00B91748" w:rsidRDefault="00445286" w:rsidP="00BF6A5D">
            <w:pPr>
              <w:pStyle w:val="ConsPlusCell"/>
              <w:jc w:val="both"/>
            </w:pPr>
            <w:r w:rsidRPr="00B91748">
              <w:t xml:space="preserve"> Наименование федерального </w:t>
            </w:r>
            <w:r w:rsidRPr="00B91748">
              <w:br/>
              <w:t xml:space="preserve">           округа          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86" w:rsidRPr="00B91748" w:rsidRDefault="00445286" w:rsidP="00BF6A5D">
            <w:pPr>
              <w:pStyle w:val="ConsPlusCell"/>
              <w:jc w:val="both"/>
            </w:pPr>
            <w:r w:rsidRPr="00B91748">
              <w:t xml:space="preserve">    Виды работ   </w:t>
            </w:r>
          </w:p>
        </w:tc>
      </w:tr>
      <w:tr w:rsidR="00445286" w:rsidRPr="00B91748" w:rsidTr="00BF6A5D">
        <w:trPr>
          <w:tblCellSpacing w:w="5" w:type="nil"/>
        </w:trPr>
        <w:tc>
          <w:tcPr>
            <w:tcW w:w="4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86" w:rsidRPr="00B91748" w:rsidRDefault="00445286" w:rsidP="00BF6A5D">
            <w:pPr>
              <w:pStyle w:val="ConsPlusCell"/>
              <w:jc w:val="both"/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86" w:rsidRPr="00B91748" w:rsidRDefault="00445286" w:rsidP="00BF6A5D">
            <w:pPr>
              <w:pStyle w:val="ConsPlusCell"/>
              <w:jc w:val="both"/>
            </w:pPr>
            <w:r w:rsidRPr="00B91748">
              <w:t>ремонт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86" w:rsidRPr="00B91748" w:rsidRDefault="00445286" w:rsidP="00BF6A5D">
            <w:pPr>
              <w:pStyle w:val="ConsPlusCell"/>
              <w:jc w:val="both"/>
            </w:pPr>
            <w:r w:rsidRPr="00B91748">
              <w:t>содержание</w:t>
            </w:r>
          </w:p>
        </w:tc>
      </w:tr>
      <w:tr w:rsidR="00445286" w:rsidRPr="00B91748" w:rsidTr="00BF6A5D">
        <w:trPr>
          <w:tblCellSpacing w:w="5" w:type="nil"/>
        </w:trPr>
        <w:tc>
          <w:tcPr>
            <w:tcW w:w="4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86" w:rsidRPr="00B91748" w:rsidRDefault="00445286" w:rsidP="00BF6A5D">
            <w:pPr>
              <w:pStyle w:val="ConsPlusCell"/>
              <w:jc w:val="both"/>
            </w:pPr>
            <w:r w:rsidRPr="00B91748">
              <w:t>Сибирский федеральный округ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86" w:rsidRPr="00B91748" w:rsidRDefault="00445286" w:rsidP="00BF6A5D">
            <w:pPr>
              <w:pStyle w:val="ConsPlusCell"/>
              <w:jc w:val="both"/>
            </w:pPr>
            <w:r w:rsidRPr="00B91748">
              <w:t xml:space="preserve">  1,01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86" w:rsidRPr="00B91748" w:rsidRDefault="00445286" w:rsidP="00BF6A5D">
            <w:pPr>
              <w:pStyle w:val="ConsPlusCell"/>
              <w:jc w:val="both"/>
            </w:pPr>
            <w:r w:rsidRPr="00B91748">
              <w:t xml:space="preserve">      0,67</w:t>
            </w:r>
          </w:p>
        </w:tc>
      </w:tr>
    </w:tbl>
    <w:p w:rsidR="00445286" w:rsidRPr="00B91748" w:rsidRDefault="00445286" w:rsidP="00445286">
      <w:pPr>
        <w:autoSpaceDE w:val="0"/>
        <w:autoSpaceDN w:val="0"/>
        <w:adjustRightInd w:val="0"/>
        <w:ind w:firstLine="540"/>
        <w:jc w:val="both"/>
      </w:pPr>
    </w:p>
    <w:p w:rsidR="00445286" w:rsidRPr="00B91748" w:rsidRDefault="00445286" w:rsidP="00445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748">
        <w:rPr>
          <w:rFonts w:ascii="Times New Roman" w:hAnsi="Times New Roman" w:cs="Times New Roman"/>
          <w:sz w:val="24"/>
          <w:szCs w:val="24"/>
        </w:rPr>
        <w:t xml:space="preserve">    5. Суммарная  годовая  потребность  в ассигнованиях из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B91748">
        <w:rPr>
          <w:rFonts w:ascii="Times New Roman" w:hAnsi="Times New Roman" w:cs="Times New Roman"/>
          <w:sz w:val="24"/>
          <w:szCs w:val="24"/>
        </w:rPr>
        <w:t xml:space="preserve"> бюджета  для  выполнения  комплекса дорожных работ на автомобильных дорогах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748">
        <w:rPr>
          <w:rFonts w:ascii="Times New Roman" w:hAnsi="Times New Roman" w:cs="Times New Roman"/>
          <w:sz w:val="24"/>
          <w:szCs w:val="24"/>
        </w:rPr>
        <w:t xml:space="preserve">общего  пользования 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B91748">
        <w:rPr>
          <w:rFonts w:ascii="Times New Roman" w:hAnsi="Times New Roman" w:cs="Times New Roman"/>
          <w:sz w:val="24"/>
          <w:szCs w:val="24"/>
        </w:rPr>
        <w:t xml:space="preserve">    значения определяется как сумма годовой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748">
        <w:rPr>
          <w:rFonts w:ascii="Times New Roman" w:hAnsi="Times New Roman" w:cs="Times New Roman"/>
          <w:sz w:val="24"/>
          <w:szCs w:val="24"/>
        </w:rPr>
        <w:t>потребности в финансировании всех видов работ по всем категориям дорог.</w:t>
      </w:r>
    </w:p>
    <w:p w:rsidR="00445286" w:rsidRPr="00B91748" w:rsidRDefault="00445286" w:rsidP="00445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748">
        <w:rPr>
          <w:rFonts w:ascii="Times New Roman" w:hAnsi="Times New Roman" w:cs="Times New Roman"/>
          <w:sz w:val="24"/>
          <w:szCs w:val="24"/>
        </w:rPr>
        <w:t xml:space="preserve">    6. Расчетная   протяженность  автомобильных  дорог  общего 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Pr="00B91748">
        <w:rPr>
          <w:rFonts w:ascii="Times New Roman" w:hAnsi="Times New Roman" w:cs="Times New Roman"/>
          <w:sz w:val="24"/>
          <w:szCs w:val="24"/>
        </w:rPr>
        <w:t xml:space="preserve">  значения соответствующей категории, подлежащих ремонту на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748">
        <w:rPr>
          <w:rFonts w:ascii="Times New Roman" w:hAnsi="Times New Roman" w:cs="Times New Roman"/>
          <w:sz w:val="24"/>
          <w:szCs w:val="24"/>
        </w:rPr>
        <w:t>планирования (L    ), определяется по формуле:</w:t>
      </w:r>
    </w:p>
    <w:p w:rsidR="00445286" w:rsidRPr="00B91748" w:rsidRDefault="00445286" w:rsidP="00445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748">
        <w:rPr>
          <w:rFonts w:ascii="Times New Roman" w:hAnsi="Times New Roman" w:cs="Times New Roman"/>
          <w:sz w:val="24"/>
          <w:szCs w:val="24"/>
        </w:rPr>
        <w:t xml:space="preserve">               рем.</w:t>
      </w:r>
    </w:p>
    <w:p w:rsidR="00445286" w:rsidRPr="00B91748" w:rsidRDefault="00445286" w:rsidP="00445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5286" w:rsidRPr="00B91748" w:rsidRDefault="00445286" w:rsidP="00445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748">
        <w:rPr>
          <w:rFonts w:ascii="Times New Roman" w:hAnsi="Times New Roman" w:cs="Times New Roman"/>
          <w:sz w:val="24"/>
          <w:szCs w:val="24"/>
        </w:rPr>
        <w:t xml:space="preserve">    L     = L / Т     - (L     + L        ), где:</w:t>
      </w:r>
    </w:p>
    <w:p w:rsidR="00445286" w:rsidRPr="00B91748" w:rsidRDefault="00445286" w:rsidP="00445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748">
        <w:rPr>
          <w:rFonts w:ascii="Times New Roman" w:hAnsi="Times New Roman" w:cs="Times New Roman"/>
          <w:sz w:val="24"/>
          <w:szCs w:val="24"/>
        </w:rPr>
        <w:t xml:space="preserve">     рем.        рем.     рек.    кап.рем.</w:t>
      </w:r>
    </w:p>
    <w:p w:rsidR="00445286" w:rsidRPr="00B91748" w:rsidRDefault="00445286" w:rsidP="00445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5286" w:rsidRPr="00B91748" w:rsidRDefault="00445286" w:rsidP="00445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748">
        <w:rPr>
          <w:rFonts w:ascii="Times New Roman" w:hAnsi="Times New Roman" w:cs="Times New Roman"/>
          <w:sz w:val="24"/>
          <w:szCs w:val="24"/>
        </w:rPr>
        <w:t xml:space="preserve">    Т </w:t>
      </w:r>
      <w:r>
        <w:rPr>
          <w:rFonts w:ascii="Times New Roman" w:hAnsi="Times New Roman" w:cs="Times New Roman"/>
          <w:sz w:val="24"/>
          <w:szCs w:val="24"/>
        </w:rPr>
        <w:t>рем.</w:t>
      </w:r>
      <w:r w:rsidRPr="00B91748">
        <w:rPr>
          <w:rFonts w:ascii="Times New Roman" w:hAnsi="Times New Roman" w:cs="Times New Roman"/>
          <w:sz w:val="24"/>
          <w:szCs w:val="24"/>
        </w:rPr>
        <w:t xml:space="preserve">   - нормативный  межремонтный  срок  по  ремонту  для  дорог каждой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748">
        <w:rPr>
          <w:rFonts w:ascii="Times New Roman" w:hAnsi="Times New Roman" w:cs="Times New Roman"/>
          <w:sz w:val="24"/>
          <w:szCs w:val="24"/>
        </w:rPr>
        <w:t xml:space="preserve"> категории, определяемый согласно </w:t>
      </w:r>
      <w:hyperlink r:id="rId6" w:history="1">
        <w:r w:rsidRPr="00B91748">
          <w:rPr>
            <w:rFonts w:ascii="Times New Roman" w:hAnsi="Times New Roman" w:cs="Times New Roman"/>
            <w:color w:val="0000FF"/>
            <w:sz w:val="24"/>
            <w:szCs w:val="24"/>
          </w:rPr>
          <w:t>таблице 3</w:t>
        </w:r>
      </w:hyperlink>
      <w:r w:rsidRPr="00B91748">
        <w:rPr>
          <w:rFonts w:ascii="Times New Roman" w:hAnsi="Times New Roman" w:cs="Times New Roman"/>
          <w:sz w:val="24"/>
          <w:szCs w:val="24"/>
        </w:rPr>
        <w:t>, лет;</w:t>
      </w:r>
    </w:p>
    <w:p w:rsidR="00445286" w:rsidRPr="00B91748" w:rsidRDefault="00445286" w:rsidP="00445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748">
        <w:rPr>
          <w:rFonts w:ascii="Times New Roman" w:hAnsi="Times New Roman" w:cs="Times New Roman"/>
          <w:sz w:val="24"/>
          <w:szCs w:val="24"/>
        </w:rPr>
        <w:t xml:space="preserve">    L  рек.   - протяженность   автомобильных   дорог  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B91748">
        <w:rPr>
          <w:rFonts w:ascii="Times New Roman" w:hAnsi="Times New Roman" w:cs="Times New Roman"/>
          <w:sz w:val="24"/>
          <w:szCs w:val="24"/>
        </w:rPr>
        <w:t xml:space="preserve">   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748">
        <w:rPr>
          <w:rFonts w:ascii="Times New Roman" w:hAnsi="Times New Roman" w:cs="Times New Roman"/>
          <w:sz w:val="24"/>
          <w:szCs w:val="24"/>
        </w:rPr>
        <w:t>соответствующей  категории, намеченных к реконструкции на год планирования,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748">
        <w:rPr>
          <w:rFonts w:ascii="Times New Roman" w:hAnsi="Times New Roman" w:cs="Times New Roman"/>
          <w:sz w:val="24"/>
          <w:szCs w:val="24"/>
        </w:rPr>
        <w:t>км;</w:t>
      </w:r>
    </w:p>
    <w:p w:rsidR="00445286" w:rsidRPr="00B91748" w:rsidRDefault="00445286" w:rsidP="00445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52"/>
      <w:bookmarkEnd w:id="0"/>
      <w:r w:rsidRPr="00B91748">
        <w:rPr>
          <w:rFonts w:ascii="Times New Roman" w:hAnsi="Times New Roman" w:cs="Times New Roman"/>
          <w:sz w:val="24"/>
          <w:szCs w:val="24"/>
        </w:rPr>
        <w:t xml:space="preserve">    L кап.рем.        - протяженность  автомобильных  дорог 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B91748">
        <w:rPr>
          <w:rFonts w:ascii="Times New Roman" w:hAnsi="Times New Roman" w:cs="Times New Roman"/>
          <w:sz w:val="24"/>
          <w:szCs w:val="24"/>
        </w:rPr>
        <w:t xml:space="preserve"> 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748">
        <w:rPr>
          <w:rFonts w:ascii="Times New Roman" w:hAnsi="Times New Roman" w:cs="Times New Roman"/>
          <w:sz w:val="24"/>
          <w:szCs w:val="24"/>
        </w:rPr>
        <w:t>соответствующей   категории,  намеченных  к  капитальному  ремонту  на 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748">
        <w:rPr>
          <w:rFonts w:ascii="Times New Roman" w:hAnsi="Times New Roman" w:cs="Times New Roman"/>
          <w:sz w:val="24"/>
          <w:szCs w:val="24"/>
        </w:rPr>
        <w:t>планирования, км.</w:t>
      </w:r>
    </w:p>
    <w:p w:rsidR="00445286" w:rsidRPr="00B91748" w:rsidRDefault="00445286" w:rsidP="00445286">
      <w:pPr>
        <w:autoSpaceDE w:val="0"/>
        <w:autoSpaceDN w:val="0"/>
        <w:adjustRightInd w:val="0"/>
        <w:ind w:firstLine="540"/>
        <w:jc w:val="both"/>
      </w:pPr>
    </w:p>
    <w:p w:rsidR="00445286" w:rsidRPr="00B91748" w:rsidRDefault="00445286" w:rsidP="00445286">
      <w:pPr>
        <w:autoSpaceDE w:val="0"/>
        <w:autoSpaceDN w:val="0"/>
        <w:adjustRightInd w:val="0"/>
        <w:jc w:val="right"/>
        <w:outlineLvl w:val="0"/>
      </w:pPr>
      <w:r w:rsidRPr="00B91748">
        <w:t>Таблица 3</w:t>
      </w:r>
    </w:p>
    <w:p w:rsidR="00445286" w:rsidRPr="00B91748" w:rsidRDefault="00445286" w:rsidP="00445286">
      <w:pPr>
        <w:autoSpaceDE w:val="0"/>
        <w:autoSpaceDN w:val="0"/>
        <w:adjustRightInd w:val="0"/>
        <w:ind w:firstLine="540"/>
        <w:jc w:val="both"/>
      </w:pPr>
    </w:p>
    <w:p w:rsidR="00445286" w:rsidRPr="002E2660" w:rsidRDefault="00445286" w:rsidP="00445286">
      <w:pPr>
        <w:autoSpaceDE w:val="0"/>
        <w:autoSpaceDN w:val="0"/>
        <w:adjustRightInd w:val="0"/>
        <w:jc w:val="center"/>
        <w:rPr>
          <w:b/>
        </w:rPr>
      </w:pPr>
      <w:r w:rsidRPr="002E2660">
        <w:rPr>
          <w:b/>
        </w:rPr>
        <w:t>Нормативные межремонтные сроки</w:t>
      </w:r>
    </w:p>
    <w:p w:rsidR="00445286" w:rsidRPr="002E2660" w:rsidRDefault="00445286" w:rsidP="0044528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445286" w:rsidRPr="00B91748" w:rsidRDefault="00445286" w:rsidP="00445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748">
        <w:rPr>
          <w:rFonts w:ascii="Times New Roman" w:hAnsi="Times New Roman" w:cs="Times New Roman"/>
          <w:sz w:val="24"/>
          <w:szCs w:val="24"/>
        </w:rPr>
        <w:t xml:space="preserve">                   (лет)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560"/>
        <w:gridCol w:w="574"/>
        <w:gridCol w:w="567"/>
        <w:gridCol w:w="567"/>
        <w:gridCol w:w="567"/>
      </w:tblGrid>
      <w:tr w:rsidR="00445286" w:rsidRPr="00B91748" w:rsidTr="00BF6A5D">
        <w:trPr>
          <w:trHeight w:val="40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86" w:rsidRPr="00B91748" w:rsidRDefault="00445286" w:rsidP="00BF6A5D">
            <w:pPr>
              <w:pStyle w:val="ConsPlusCell"/>
              <w:jc w:val="both"/>
            </w:pPr>
            <w:r w:rsidRPr="00B91748">
              <w:t xml:space="preserve"> Виды </w:t>
            </w:r>
            <w:r w:rsidRPr="00B91748">
              <w:br/>
              <w:t xml:space="preserve">работ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86" w:rsidRPr="00B91748" w:rsidRDefault="00445286" w:rsidP="00BF6A5D">
            <w:pPr>
              <w:pStyle w:val="ConsPlusCell"/>
              <w:jc w:val="both"/>
            </w:pPr>
            <w:r w:rsidRPr="00B91748">
              <w:t>Категории дорог</w:t>
            </w:r>
          </w:p>
        </w:tc>
      </w:tr>
      <w:tr w:rsidR="00445286" w:rsidRPr="00B91748" w:rsidTr="00BF6A5D">
        <w:trPr>
          <w:trHeight w:val="67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86" w:rsidRPr="00B91748" w:rsidRDefault="00445286" w:rsidP="00BF6A5D">
            <w:pPr>
              <w:pStyle w:val="ConsPlusCell"/>
              <w:jc w:val="both"/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86" w:rsidRPr="00B91748" w:rsidRDefault="00445286" w:rsidP="00BF6A5D">
            <w:pPr>
              <w:pStyle w:val="ConsPlusCell"/>
              <w:jc w:val="both"/>
            </w:pPr>
            <w:r w:rsidRPr="00B91748">
              <w:t xml:space="preserve"> I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86" w:rsidRPr="00B91748" w:rsidRDefault="00445286" w:rsidP="00BF6A5D">
            <w:pPr>
              <w:pStyle w:val="ConsPlusCell"/>
              <w:jc w:val="both"/>
            </w:pPr>
            <w:r w:rsidRPr="00B91748">
              <w:t>II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86" w:rsidRPr="00B91748" w:rsidRDefault="00445286" w:rsidP="00BF6A5D">
            <w:pPr>
              <w:pStyle w:val="ConsPlusCell"/>
              <w:jc w:val="both"/>
            </w:pPr>
            <w:r w:rsidRPr="00B91748">
              <w:t>III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86" w:rsidRPr="00B91748" w:rsidRDefault="00445286" w:rsidP="00BF6A5D">
            <w:pPr>
              <w:pStyle w:val="ConsPlusCell"/>
              <w:jc w:val="both"/>
            </w:pPr>
            <w:r w:rsidRPr="00B91748">
              <w:t>IV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86" w:rsidRPr="00B91748" w:rsidRDefault="00445286" w:rsidP="00BF6A5D">
            <w:pPr>
              <w:pStyle w:val="ConsPlusCell"/>
              <w:jc w:val="both"/>
            </w:pPr>
            <w:r w:rsidRPr="00B91748">
              <w:t xml:space="preserve"> V</w:t>
            </w:r>
          </w:p>
        </w:tc>
      </w:tr>
      <w:tr w:rsidR="00445286" w:rsidRPr="00B91748" w:rsidTr="00BF6A5D">
        <w:trPr>
          <w:trHeight w:val="1093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86" w:rsidRPr="00B91748" w:rsidRDefault="00445286" w:rsidP="00BF6A5D">
            <w:pPr>
              <w:pStyle w:val="ConsPlusCell"/>
              <w:jc w:val="both"/>
            </w:pPr>
            <w:r w:rsidRPr="00B91748">
              <w:t>Ремонт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86" w:rsidRPr="00B91748" w:rsidRDefault="00445286" w:rsidP="00BF6A5D">
            <w:pPr>
              <w:pStyle w:val="ConsPlusCell"/>
              <w:jc w:val="both"/>
            </w:pPr>
            <w:r w:rsidRPr="00B91748">
              <w:t xml:space="preserve"> 4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86" w:rsidRPr="00B91748" w:rsidRDefault="00445286" w:rsidP="00BF6A5D">
            <w:pPr>
              <w:pStyle w:val="ConsPlusCell"/>
              <w:jc w:val="both"/>
            </w:pPr>
            <w:r w:rsidRPr="00B91748">
              <w:t xml:space="preserve"> 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86" w:rsidRPr="00B91748" w:rsidRDefault="00445286" w:rsidP="00BF6A5D">
            <w:pPr>
              <w:pStyle w:val="ConsPlusCell"/>
              <w:jc w:val="both"/>
            </w:pPr>
            <w:r w:rsidRPr="00B91748">
              <w:t xml:space="preserve">  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86" w:rsidRPr="00B91748" w:rsidRDefault="00445286" w:rsidP="00BF6A5D">
            <w:pPr>
              <w:pStyle w:val="ConsPlusCell"/>
              <w:jc w:val="both"/>
            </w:pPr>
            <w:r w:rsidRPr="00B91748">
              <w:t xml:space="preserve"> 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86" w:rsidRPr="00B91748" w:rsidRDefault="00445286" w:rsidP="00BF6A5D">
            <w:pPr>
              <w:pStyle w:val="ConsPlusCell"/>
              <w:jc w:val="both"/>
            </w:pPr>
            <w:r w:rsidRPr="00B91748">
              <w:t xml:space="preserve"> 5</w:t>
            </w:r>
          </w:p>
        </w:tc>
      </w:tr>
    </w:tbl>
    <w:p w:rsidR="00445286" w:rsidRPr="00B91748" w:rsidRDefault="00445286" w:rsidP="00445286">
      <w:pPr>
        <w:autoSpaceDE w:val="0"/>
        <w:autoSpaceDN w:val="0"/>
        <w:adjustRightInd w:val="0"/>
        <w:ind w:firstLine="540"/>
        <w:jc w:val="both"/>
      </w:pPr>
    </w:p>
    <w:p w:rsidR="00445286" w:rsidRPr="00B91748" w:rsidRDefault="00445286" w:rsidP="00445286">
      <w:pPr>
        <w:autoSpaceDE w:val="0"/>
        <w:autoSpaceDN w:val="0"/>
        <w:adjustRightInd w:val="0"/>
        <w:ind w:firstLine="540"/>
        <w:jc w:val="both"/>
      </w:pPr>
    </w:p>
    <w:p w:rsidR="00445286" w:rsidRPr="00B91748" w:rsidRDefault="00445286" w:rsidP="00445286">
      <w:pPr>
        <w:jc w:val="both"/>
      </w:pPr>
    </w:p>
    <w:p w:rsidR="00445286" w:rsidRPr="00B91748" w:rsidRDefault="00445286" w:rsidP="00445286">
      <w:pPr>
        <w:jc w:val="both"/>
      </w:pPr>
    </w:p>
    <w:p w:rsidR="000110D5" w:rsidRDefault="000110D5" w:rsidP="00445286">
      <w:pPr>
        <w:pStyle w:val="aa"/>
        <w:jc w:val="both"/>
      </w:pPr>
    </w:p>
    <w:sectPr w:rsidR="000110D5" w:rsidSect="00B55EAF">
      <w:pgSz w:w="11906" w:h="16838"/>
      <w:pgMar w:top="794" w:right="624" w:bottom="964" w:left="187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16EB"/>
    <w:multiLevelType w:val="hybridMultilevel"/>
    <w:tmpl w:val="BFD028CA"/>
    <w:lvl w:ilvl="0" w:tplc="DBC481B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2FE3D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1889"/>
    <w:rsid w:val="000110D5"/>
    <w:rsid w:val="000A640D"/>
    <w:rsid w:val="00113051"/>
    <w:rsid w:val="0016588D"/>
    <w:rsid w:val="001A34B5"/>
    <w:rsid w:val="001A6E5F"/>
    <w:rsid w:val="001E42C1"/>
    <w:rsid w:val="00312923"/>
    <w:rsid w:val="0035610D"/>
    <w:rsid w:val="003B71E9"/>
    <w:rsid w:val="003E221A"/>
    <w:rsid w:val="003F5F71"/>
    <w:rsid w:val="004006C9"/>
    <w:rsid w:val="00445286"/>
    <w:rsid w:val="004D14EB"/>
    <w:rsid w:val="004F5326"/>
    <w:rsid w:val="00576866"/>
    <w:rsid w:val="00584899"/>
    <w:rsid w:val="005E03E2"/>
    <w:rsid w:val="006214DB"/>
    <w:rsid w:val="00641E19"/>
    <w:rsid w:val="00746954"/>
    <w:rsid w:val="00782E0F"/>
    <w:rsid w:val="00802FB2"/>
    <w:rsid w:val="0084091E"/>
    <w:rsid w:val="008B0B4E"/>
    <w:rsid w:val="009F0828"/>
    <w:rsid w:val="00A173BF"/>
    <w:rsid w:val="00A66B9F"/>
    <w:rsid w:val="00AB20B7"/>
    <w:rsid w:val="00B55EAF"/>
    <w:rsid w:val="00BE44C9"/>
    <w:rsid w:val="00BF6A5D"/>
    <w:rsid w:val="00C04001"/>
    <w:rsid w:val="00C64095"/>
    <w:rsid w:val="00DE6A9A"/>
    <w:rsid w:val="00E0505B"/>
    <w:rsid w:val="00E453C2"/>
    <w:rsid w:val="00E75860"/>
    <w:rsid w:val="00EA2608"/>
    <w:rsid w:val="00EB2AF9"/>
    <w:rsid w:val="00F01889"/>
    <w:rsid w:val="00F12628"/>
    <w:rsid w:val="00F3280F"/>
    <w:rsid w:val="00F6720F"/>
    <w:rsid w:val="00F841DA"/>
    <w:rsid w:val="00F9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889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F01889"/>
    <w:pPr>
      <w:keepNext/>
      <w:shd w:val="clear" w:color="auto" w:fill="FFFFFF"/>
      <w:tabs>
        <w:tab w:val="left" w:pos="9214"/>
      </w:tabs>
      <w:ind w:right="41"/>
      <w:jc w:val="center"/>
      <w:outlineLvl w:val="1"/>
    </w:pPr>
    <w:rPr>
      <w:b/>
      <w:color w:val="000000"/>
      <w:spacing w:val="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88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1889"/>
    <w:rPr>
      <w:rFonts w:ascii="Times New Roman" w:eastAsia="Times New Roman" w:hAnsi="Times New Roman" w:cs="Times New Roman"/>
      <w:b/>
      <w:color w:val="000000"/>
      <w:spacing w:val="5"/>
      <w:sz w:val="28"/>
      <w:szCs w:val="24"/>
      <w:shd w:val="clear" w:color="auto" w:fill="FFFFFF"/>
      <w:lang w:eastAsia="ru-RU"/>
    </w:rPr>
  </w:style>
  <w:style w:type="paragraph" w:styleId="3">
    <w:name w:val="Body Text 3"/>
    <w:basedOn w:val="a"/>
    <w:link w:val="30"/>
    <w:rsid w:val="00F018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018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F01889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F0188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Indent 3"/>
    <w:basedOn w:val="a"/>
    <w:link w:val="32"/>
    <w:rsid w:val="00F018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18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F018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01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F01889"/>
    <w:pPr>
      <w:spacing w:after="120"/>
    </w:pPr>
  </w:style>
  <w:style w:type="character" w:customStyle="1" w:styleId="a6">
    <w:name w:val="Основной текст Знак"/>
    <w:basedOn w:val="a0"/>
    <w:link w:val="a5"/>
    <w:rsid w:val="00F01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18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8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02FB2"/>
    <w:pPr>
      <w:ind w:left="720"/>
      <w:contextualSpacing/>
    </w:pPr>
  </w:style>
  <w:style w:type="paragraph" w:styleId="aa">
    <w:name w:val="No Spacing"/>
    <w:uiPriority w:val="1"/>
    <w:qFormat/>
    <w:rsid w:val="00802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4528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45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445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1192F9F86E36735B7E273D2F8CD96D0E9635B04838E4676F3389E257B74FA9944DC3976B9225E437122EjCZ7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5DB84-CB38-450E-A754-4839EA71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cp:lastPrinted>2012-11-14T13:05:00Z</cp:lastPrinted>
  <dcterms:created xsi:type="dcterms:W3CDTF">2013-02-01T06:34:00Z</dcterms:created>
  <dcterms:modified xsi:type="dcterms:W3CDTF">2013-02-01T06:34:00Z</dcterms:modified>
</cp:coreProperties>
</file>